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180" w:rsidRPr="002272BF" w:rsidRDefault="00364180" w:rsidP="00364180">
      <w:pPr>
        <w:spacing w:after="0" w:line="240" w:lineRule="auto"/>
        <w:jc w:val="center"/>
        <w:rPr>
          <w:rFonts w:asciiTheme="majorBidi" w:hAnsiTheme="majorBidi" w:cstheme="majorBidi"/>
          <w:b/>
          <w:bCs/>
          <w:sz w:val="24"/>
          <w:szCs w:val="24"/>
        </w:rPr>
      </w:pPr>
      <w:r w:rsidRPr="006D0E53">
        <w:rPr>
          <w:rFonts w:asciiTheme="majorBidi" w:hAnsiTheme="majorBidi" w:cstheme="majorBidi"/>
          <w:noProof/>
          <w:sz w:val="24"/>
          <w:szCs w:val="24"/>
          <w:lang w:bidi="ar-SA"/>
        </w:rPr>
        <w:pict>
          <v:rect id="_x0000_s1026" style="position:absolute;left:0;text-align:left;margin-left:-7.5pt;margin-top:-46.25pt;width:294.5pt;height:20.75pt;z-index:251660288" stroked="f"/>
        </w:pict>
      </w:r>
      <w:r w:rsidRPr="002272BF">
        <w:rPr>
          <w:rFonts w:asciiTheme="majorBidi" w:hAnsiTheme="majorBidi" w:cstheme="majorBidi"/>
          <w:b/>
          <w:bCs/>
          <w:sz w:val="24"/>
          <w:szCs w:val="24"/>
        </w:rPr>
        <w:t>Pendidikan Reproduksi (Seks) pada Remaja Menurut Perspektif Islam</w:t>
      </w:r>
    </w:p>
    <w:p w:rsidR="00364180" w:rsidRPr="0030268F" w:rsidRDefault="00364180" w:rsidP="00364180">
      <w:pPr>
        <w:spacing w:after="0" w:line="360" w:lineRule="auto"/>
        <w:jc w:val="center"/>
        <w:rPr>
          <w:rFonts w:asciiTheme="majorBidi" w:hAnsiTheme="majorBidi" w:cstheme="majorBidi"/>
          <w:sz w:val="24"/>
          <w:szCs w:val="24"/>
        </w:rPr>
      </w:pPr>
      <w:r w:rsidRPr="0030268F">
        <w:rPr>
          <w:rFonts w:asciiTheme="majorBidi" w:hAnsiTheme="majorBidi" w:cstheme="majorBidi"/>
          <w:sz w:val="24"/>
          <w:szCs w:val="24"/>
        </w:rPr>
        <w:t>Oleh: Nuryadin</w:t>
      </w:r>
    </w:p>
    <w:p w:rsidR="00364180" w:rsidRDefault="00364180" w:rsidP="00364180">
      <w:pPr>
        <w:spacing w:after="0" w:line="360" w:lineRule="auto"/>
        <w:jc w:val="center"/>
        <w:rPr>
          <w:rFonts w:asciiTheme="majorBidi" w:hAnsiTheme="majorBidi" w:cstheme="majorBidi"/>
          <w:b/>
          <w:bCs/>
          <w:i/>
          <w:iCs/>
          <w:sz w:val="24"/>
          <w:szCs w:val="24"/>
        </w:rPr>
      </w:pPr>
    </w:p>
    <w:p w:rsidR="00364180" w:rsidRPr="0030268F" w:rsidRDefault="00364180" w:rsidP="00364180">
      <w:pPr>
        <w:spacing w:after="0" w:line="360" w:lineRule="auto"/>
        <w:jc w:val="center"/>
        <w:rPr>
          <w:rFonts w:asciiTheme="majorBidi" w:hAnsiTheme="majorBidi" w:cstheme="majorBidi"/>
          <w:b/>
          <w:bCs/>
          <w:sz w:val="24"/>
          <w:szCs w:val="24"/>
        </w:rPr>
      </w:pPr>
      <w:r w:rsidRPr="0030268F">
        <w:rPr>
          <w:rFonts w:asciiTheme="majorBidi" w:hAnsiTheme="majorBidi" w:cstheme="majorBidi"/>
          <w:b/>
          <w:bCs/>
          <w:sz w:val="24"/>
          <w:szCs w:val="24"/>
        </w:rPr>
        <w:t>Abstrak</w:t>
      </w:r>
    </w:p>
    <w:p w:rsidR="00364180" w:rsidRDefault="00364180" w:rsidP="00364180">
      <w:pPr>
        <w:spacing w:after="0" w:line="240" w:lineRule="auto"/>
        <w:jc w:val="center"/>
        <w:rPr>
          <w:rFonts w:asciiTheme="majorBidi" w:hAnsiTheme="majorBidi" w:cstheme="majorBidi"/>
          <w:i/>
          <w:sz w:val="24"/>
          <w:szCs w:val="24"/>
        </w:rPr>
      </w:pPr>
      <w:r w:rsidRPr="002A4559">
        <w:rPr>
          <w:rFonts w:asciiTheme="majorBidi" w:hAnsiTheme="majorBidi" w:cstheme="majorBidi"/>
          <w:i/>
          <w:sz w:val="24"/>
          <w:szCs w:val="24"/>
        </w:rPr>
        <w:t>Sebagai ajaran yang menekankan pada keseimbangan hidup dunia maupun akhirat, Islam memberikan perhatian pada pendidikan seks (reproduksi) sejak masa anak berusia dini hingga dewasa. Salah satu fase usia yang penting dalam perjalanan kehidupan manusia adalah masa remaja (pubertas). Pendidikan seks pada remaja memiliki urgensi sebagai upaya edukasi, penyadaran dan antisipasi serta pencegahan (preventif) terhadap perilaku menyimpang yang ditimbulkan. Islam menggarisbawahi bahwa pendidikan seks merupakan satu kesatuan dengan pendidikan atauhid, ibadah dan akhlak. Tulisan ini berupaya menyajikan gambaran pendidikan reproduksi (seks) pada remaja menurut perspektif Islam.</w:t>
      </w:r>
    </w:p>
    <w:p w:rsidR="00364180" w:rsidRPr="0030268F" w:rsidRDefault="00364180" w:rsidP="00364180">
      <w:pPr>
        <w:spacing w:after="0" w:line="240" w:lineRule="auto"/>
        <w:jc w:val="center"/>
        <w:rPr>
          <w:rFonts w:asciiTheme="majorBidi" w:hAnsiTheme="majorBidi" w:cstheme="majorBidi"/>
          <w:i/>
          <w:sz w:val="24"/>
          <w:szCs w:val="24"/>
        </w:rPr>
      </w:pPr>
    </w:p>
    <w:p w:rsidR="00364180" w:rsidRPr="0030268F" w:rsidRDefault="00364180" w:rsidP="00364180">
      <w:pPr>
        <w:spacing w:after="0" w:line="360" w:lineRule="auto"/>
        <w:jc w:val="center"/>
        <w:rPr>
          <w:rFonts w:asciiTheme="majorBidi" w:hAnsiTheme="majorBidi" w:cstheme="majorBidi"/>
          <w:b/>
          <w:iCs/>
          <w:sz w:val="24"/>
          <w:szCs w:val="24"/>
        </w:rPr>
      </w:pPr>
      <w:r w:rsidRPr="0030268F">
        <w:rPr>
          <w:rFonts w:asciiTheme="majorBidi" w:hAnsiTheme="majorBidi" w:cstheme="majorBidi"/>
          <w:b/>
          <w:iCs/>
          <w:sz w:val="24"/>
          <w:szCs w:val="24"/>
        </w:rPr>
        <w:t>Abstract</w:t>
      </w:r>
    </w:p>
    <w:p w:rsidR="00364180" w:rsidRDefault="00364180" w:rsidP="00364180">
      <w:pPr>
        <w:spacing w:after="0" w:line="240" w:lineRule="auto"/>
        <w:jc w:val="center"/>
        <w:rPr>
          <w:rFonts w:asciiTheme="majorBidi" w:hAnsiTheme="majorBidi" w:cstheme="majorBidi"/>
          <w:i/>
          <w:sz w:val="24"/>
          <w:szCs w:val="24"/>
        </w:rPr>
      </w:pPr>
      <w:r w:rsidRPr="002A4559">
        <w:rPr>
          <w:rFonts w:asciiTheme="majorBidi" w:hAnsiTheme="majorBidi" w:cstheme="majorBidi"/>
          <w:i/>
          <w:sz w:val="24"/>
          <w:szCs w:val="24"/>
        </w:rPr>
        <w:t>As a doctrine that emphasizes the balance of life world and the hereafter, Islam pays attention to sex education (reproduction) from early childhood to adult age. One of the important phases of age in the course of human life is adolescence (puberty). Sex education to adolescents have urgency as educational efforts, awareness and anticipation and prevention (preventive) against deviant behavior caused. Islam underline that sex education is an integral part atauhid education, worship and morality. This paper presents an overview of education seeks reproductive (sex) in adolescents according to Islamic perspective.</w:t>
      </w:r>
    </w:p>
    <w:p w:rsidR="00364180" w:rsidRDefault="00364180" w:rsidP="00364180">
      <w:pPr>
        <w:spacing w:after="0" w:line="240" w:lineRule="auto"/>
        <w:rPr>
          <w:rFonts w:asciiTheme="majorBidi" w:hAnsiTheme="majorBidi" w:cstheme="majorBidi"/>
          <w:i/>
          <w:sz w:val="24"/>
          <w:szCs w:val="24"/>
        </w:rPr>
      </w:pPr>
    </w:p>
    <w:p w:rsidR="00364180" w:rsidRDefault="00364180" w:rsidP="00364180">
      <w:pPr>
        <w:spacing w:after="0" w:line="360" w:lineRule="auto"/>
        <w:jc w:val="both"/>
        <w:rPr>
          <w:rFonts w:asciiTheme="majorBidi" w:hAnsiTheme="majorBidi" w:cstheme="majorBidi"/>
          <w:sz w:val="24"/>
          <w:szCs w:val="24"/>
        </w:rPr>
      </w:pPr>
      <w:r w:rsidRPr="002272BF">
        <w:rPr>
          <w:rFonts w:asciiTheme="majorBidi" w:hAnsiTheme="majorBidi" w:cstheme="majorBidi"/>
          <w:b/>
          <w:bCs/>
          <w:sz w:val="24"/>
          <w:szCs w:val="24"/>
        </w:rPr>
        <w:t>Kata kunci</w:t>
      </w:r>
      <w:r w:rsidRPr="002272BF">
        <w:rPr>
          <w:rFonts w:asciiTheme="majorBidi" w:hAnsiTheme="majorBidi" w:cstheme="majorBidi"/>
          <w:sz w:val="24"/>
          <w:szCs w:val="24"/>
        </w:rPr>
        <w:t xml:space="preserve">: remaja, </w:t>
      </w:r>
      <w:r>
        <w:rPr>
          <w:rFonts w:asciiTheme="majorBidi" w:hAnsiTheme="majorBidi" w:cstheme="majorBidi"/>
          <w:sz w:val="24"/>
          <w:szCs w:val="24"/>
        </w:rPr>
        <w:t xml:space="preserve">pendidikan </w:t>
      </w:r>
      <w:r w:rsidRPr="002272BF">
        <w:rPr>
          <w:rFonts w:asciiTheme="majorBidi" w:hAnsiTheme="majorBidi" w:cstheme="majorBidi"/>
          <w:sz w:val="24"/>
          <w:szCs w:val="24"/>
        </w:rPr>
        <w:t>seks, Islam.</w:t>
      </w:r>
    </w:p>
    <w:p w:rsidR="00364180" w:rsidRPr="002272BF" w:rsidRDefault="00364180" w:rsidP="00364180">
      <w:pPr>
        <w:spacing w:after="0" w:line="360" w:lineRule="auto"/>
        <w:jc w:val="both"/>
        <w:rPr>
          <w:rFonts w:asciiTheme="majorBidi" w:hAnsiTheme="majorBidi" w:cstheme="majorBidi"/>
          <w:sz w:val="24"/>
          <w:szCs w:val="24"/>
        </w:rPr>
      </w:pPr>
    </w:p>
    <w:p w:rsidR="00364180" w:rsidRPr="002272BF" w:rsidRDefault="00364180" w:rsidP="00364180">
      <w:pPr>
        <w:spacing w:after="0" w:line="360" w:lineRule="auto"/>
        <w:jc w:val="both"/>
        <w:rPr>
          <w:rFonts w:asciiTheme="majorBidi" w:hAnsiTheme="majorBidi" w:cstheme="majorBidi"/>
          <w:b/>
          <w:bCs/>
          <w:sz w:val="24"/>
          <w:szCs w:val="24"/>
        </w:rPr>
      </w:pPr>
      <w:r w:rsidRPr="002272BF">
        <w:rPr>
          <w:rFonts w:asciiTheme="majorBidi" w:hAnsiTheme="majorBidi" w:cstheme="majorBidi"/>
          <w:b/>
          <w:bCs/>
          <w:sz w:val="24"/>
          <w:szCs w:val="24"/>
        </w:rPr>
        <w:t>Pendahuluan</w:t>
      </w:r>
    </w:p>
    <w:p w:rsidR="00364180" w:rsidRPr="002272BF" w:rsidRDefault="00364180" w:rsidP="00364180">
      <w:pPr>
        <w:spacing w:after="0" w:line="360" w:lineRule="auto"/>
        <w:ind w:firstLine="567"/>
        <w:jc w:val="both"/>
        <w:rPr>
          <w:rFonts w:asciiTheme="majorBidi" w:hAnsiTheme="majorBidi" w:cstheme="majorBidi"/>
          <w:sz w:val="24"/>
          <w:szCs w:val="24"/>
        </w:rPr>
      </w:pPr>
      <w:r w:rsidRPr="002272BF">
        <w:rPr>
          <w:rFonts w:asciiTheme="majorBidi" w:hAnsiTheme="majorBidi" w:cstheme="majorBidi"/>
          <w:sz w:val="24"/>
          <w:szCs w:val="24"/>
        </w:rPr>
        <w:t>Belum banyak kajian yang dilakukan seputar tema pendidikan seks dalam Islam dengan berbagai aspeknya. Tulisan ini berupaya mengkaji pendidikan seks pada remaja menurut perspektif Islam. Berbagai literatur yang terkait dengan tema ini juga jarang dijumpai. Sehingga akses masyarakat terhadap kajian ini juga sedikit. Kajian ini lebih pada upaya kajian teoritis.</w:t>
      </w:r>
    </w:p>
    <w:p w:rsidR="00364180" w:rsidRPr="002272BF" w:rsidRDefault="00364180" w:rsidP="00364180">
      <w:pPr>
        <w:spacing w:after="0" w:line="360" w:lineRule="auto"/>
        <w:ind w:firstLine="567"/>
        <w:jc w:val="both"/>
        <w:rPr>
          <w:rFonts w:asciiTheme="majorBidi" w:hAnsiTheme="majorBidi" w:cstheme="majorBidi"/>
          <w:sz w:val="24"/>
          <w:szCs w:val="24"/>
        </w:rPr>
      </w:pPr>
      <w:r w:rsidRPr="002272BF">
        <w:rPr>
          <w:rFonts w:asciiTheme="majorBidi" w:hAnsiTheme="majorBidi" w:cstheme="majorBidi"/>
          <w:sz w:val="24"/>
          <w:szCs w:val="24"/>
        </w:rPr>
        <w:t>Berbicara tentang seks tidak terlepas dari pembicaraan mengenai manusia itu sendiri. Manusia dilahirkan dengan naluri seks terhadap lawan jenisnya, terlepas dari berbagai penyimpangan seks. Seks pada dasarnya merupakan kebutuhan alami atau naluriah makhluk hidup guna melangsungkan hidup dan melestarikan generasinya, seperti pada manusia dan hewan. Pada manusia, seks merupakan media dalam melestarikan generasi umat manusia, menyalurkan hasrat seksual dan sebagainya. Jika seks dianggap tabu, terlarang dan jorok untuk dibicarakan atau dikaji, seolah-olah hal demikian tidak memberikan petunjuk atau pendidikan bagaimana mengelola seks dalam lingkup kebermanfaatan dan kebenaran.</w:t>
      </w:r>
    </w:p>
    <w:p w:rsidR="00364180" w:rsidRPr="002272BF" w:rsidRDefault="00364180" w:rsidP="00364180">
      <w:pPr>
        <w:spacing w:after="0" w:line="360" w:lineRule="auto"/>
        <w:ind w:firstLine="567"/>
        <w:jc w:val="both"/>
        <w:rPr>
          <w:rFonts w:asciiTheme="majorBidi" w:hAnsiTheme="majorBidi" w:cstheme="majorBidi"/>
          <w:sz w:val="24"/>
          <w:szCs w:val="24"/>
        </w:rPr>
      </w:pPr>
      <w:r w:rsidRPr="002272BF">
        <w:rPr>
          <w:rFonts w:asciiTheme="majorBidi" w:hAnsiTheme="majorBidi" w:cstheme="majorBidi"/>
          <w:sz w:val="24"/>
          <w:szCs w:val="24"/>
        </w:rPr>
        <w:t xml:space="preserve">Berbagai penyimpangan dan kejahatan seksual yang terjadi yang dipublikasikan media massa dan elektronik pada masyarakat menunjukkan perlu dan urgennya pendidikan yang </w:t>
      </w:r>
      <w:r w:rsidRPr="002272BF">
        <w:rPr>
          <w:rFonts w:asciiTheme="majorBidi" w:hAnsiTheme="majorBidi" w:cstheme="majorBidi"/>
          <w:sz w:val="24"/>
          <w:szCs w:val="24"/>
        </w:rPr>
        <w:lastRenderedPageBreak/>
        <w:t>bermuatan moralitas diberikan pada anak maupun peserta didik. Pendidikan yang berwawasan moralitas ini juga terkandung dalam pendidikan seks, khususnya pendidikan seks pada remaja menurut perspektif Islam. Pendidikan seks pada remaja memiliki urgensi sebagai upaya edukasi, penyadaran dan antisipasi serta pencegahan (preventif) terhadap perilaku menyimpang yang ditimbulkan.</w:t>
      </w:r>
    </w:p>
    <w:p w:rsidR="00364180" w:rsidRPr="002272BF" w:rsidRDefault="00364180" w:rsidP="00364180">
      <w:pPr>
        <w:spacing w:after="0" w:line="360" w:lineRule="auto"/>
        <w:ind w:firstLine="567"/>
        <w:jc w:val="both"/>
        <w:rPr>
          <w:rFonts w:asciiTheme="majorBidi" w:hAnsiTheme="majorBidi" w:cstheme="majorBidi"/>
          <w:sz w:val="24"/>
          <w:szCs w:val="24"/>
        </w:rPr>
      </w:pPr>
      <w:r w:rsidRPr="002272BF">
        <w:rPr>
          <w:rFonts w:asciiTheme="majorBidi" w:hAnsiTheme="majorBidi" w:cstheme="majorBidi"/>
          <w:sz w:val="24"/>
          <w:szCs w:val="24"/>
        </w:rPr>
        <w:t>Marak dan tingginya penyimpangan dan kejahatan seksual yang terjadi membuat kita prihatin terhadap generasi muda, khususnya remaja. Dibutuhkan suatu formula guna mencegah dan mengatasi problematika demikian. Pendidikan seks pada remaja merupakan bentuk edukasi yang efektif guna memberikan wawasan, bimbingan, antisipasi dan pencegahan bagi remaja dalam menghadapi persoalan seksual yang terjadi pada usianya dan mengelola gejolak emosional serta sosial yang terjadi. Di sinilah pendidikan seks atau reproduksi menemukan momentum dan urgensinya.</w:t>
      </w:r>
    </w:p>
    <w:p w:rsidR="00364180" w:rsidRPr="002272BF" w:rsidRDefault="00364180" w:rsidP="00364180">
      <w:pPr>
        <w:spacing w:after="0" w:line="360" w:lineRule="auto"/>
        <w:ind w:firstLine="567"/>
        <w:jc w:val="both"/>
        <w:rPr>
          <w:rFonts w:asciiTheme="majorBidi" w:hAnsiTheme="majorBidi" w:cstheme="majorBidi"/>
          <w:sz w:val="24"/>
          <w:szCs w:val="24"/>
        </w:rPr>
      </w:pPr>
      <w:r w:rsidRPr="002272BF">
        <w:rPr>
          <w:rFonts w:asciiTheme="majorBidi" w:hAnsiTheme="majorBidi" w:cstheme="majorBidi"/>
          <w:sz w:val="24"/>
          <w:szCs w:val="24"/>
        </w:rPr>
        <w:t>Kajian tentang pendidikan seks di Indonesia belum banyak dilakukan dalam lingkup pembelajaran formal di lembaga pendidikan. Pendidikan seks lebih diintegrasikan (penyisipan) dalam pelajaran tertentu daripada dalam bentuk pelajaran khusus. Apalagi pendidikan seks yang diajarkan berbasis pada perspektif Islam. Begitu urgennya pendidikan seks menurut Islam disampaikan sebagai bekal generasi muda (muslim) dalam menghadapi dan mengarungi kehidupannya sekarang maupun masa mendatang. Selain di Indonesia, pendidikan seks sudah pernah dilaksanakan di beberapa negara seperti Jerman dan Belanda.</w:t>
      </w:r>
      <w:r w:rsidRPr="002272BF">
        <w:rPr>
          <w:rStyle w:val="FootnoteReference"/>
          <w:rFonts w:asciiTheme="majorBidi" w:hAnsiTheme="majorBidi" w:cstheme="majorBidi"/>
          <w:sz w:val="24"/>
          <w:szCs w:val="24"/>
        </w:rPr>
        <w:footnoteReference w:id="2"/>
      </w:r>
    </w:p>
    <w:p w:rsidR="00364180" w:rsidRPr="002272BF" w:rsidRDefault="00364180" w:rsidP="00364180">
      <w:pPr>
        <w:spacing w:after="0" w:line="360" w:lineRule="auto"/>
        <w:jc w:val="both"/>
        <w:rPr>
          <w:rFonts w:asciiTheme="majorBidi" w:hAnsiTheme="majorBidi" w:cstheme="majorBidi"/>
          <w:b/>
          <w:bCs/>
          <w:sz w:val="24"/>
          <w:szCs w:val="24"/>
        </w:rPr>
      </w:pPr>
    </w:p>
    <w:p w:rsidR="00364180" w:rsidRPr="002272BF" w:rsidRDefault="00364180" w:rsidP="00364180">
      <w:pPr>
        <w:spacing w:after="0" w:line="360" w:lineRule="auto"/>
        <w:jc w:val="both"/>
        <w:rPr>
          <w:rFonts w:asciiTheme="majorBidi" w:hAnsiTheme="majorBidi" w:cstheme="majorBidi"/>
          <w:b/>
          <w:bCs/>
          <w:sz w:val="24"/>
          <w:szCs w:val="24"/>
        </w:rPr>
      </w:pPr>
      <w:r w:rsidRPr="002272BF">
        <w:rPr>
          <w:rFonts w:asciiTheme="majorBidi" w:hAnsiTheme="majorBidi" w:cstheme="majorBidi"/>
          <w:b/>
          <w:bCs/>
          <w:sz w:val="24"/>
          <w:szCs w:val="24"/>
        </w:rPr>
        <w:t>Definisi Pendidikan Seks</w:t>
      </w:r>
    </w:p>
    <w:p w:rsidR="00364180" w:rsidRPr="002272BF" w:rsidRDefault="00364180" w:rsidP="00364180">
      <w:pPr>
        <w:spacing w:after="0" w:line="360" w:lineRule="auto"/>
        <w:ind w:firstLine="567"/>
        <w:jc w:val="both"/>
        <w:rPr>
          <w:rFonts w:asciiTheme="majorBidi" w:hAnsiTheme="majorBidi" w:cstheme="majorBidi"/>
          <w:sz w:val="24"/>
          <w:szCs w:val="24"/>
        </w:rPr>
      </w:pPr>
      <w:r w:rsidRPr="002272BF">
        <w:rPr>
          <w:rFonts w:asciiTheme="majorBidi" w:hAnsiTheme="majorBidi" w:cstheme="majorBidi"/>
          <w:sz w:val="24"/>
          <w:szCs w:val="24"/>
        </w:rPr>
        <w:t>Manusia adalah makhluk yang memiliki berbagai kompleksitas dan keunikan. Kompleksitas dan keunikan manusia merupakan potensi yang dapat berkembang ke arah positif maupun negatif. Manusia dikenal sebagai makhluk yang dianugerahi berbagai potensi untuk berkembang dan melahirkan berbagai karya serta peradaban. Dalam mengaktualkan potensinya manusia membutuhkan bimbingan. Bimbingan ini pada awalnya diperoleh dari orang tua atau pun lingkungannya. Selanjutnya manusia itu sendiri dapat tumbuh dan berkembang secara mandiri seiring dengan pertumbuhan dan perkembangan dirinya.</w:t>
      </w:r>
    </w:p>
    <w:p w:rsidR="00364180" w:rsidRPr="002272BF" w:rsidRDefault="00364180" w:rsidP="00364180">
      <w:pPr>
        <w:spacing w:after="0" w:line="360" w:lineRule="auto"/>
        <w:ind w:firstLine="567"/>
        <w:jc w:val="both"/>
        <w:rPr>
          <w:rFonts w:asciiTheme="majorBidi" w:hAnsiTheme="majorBidi" w:cstheme="majorBidi"/>
          <w:sz w:val="24"/>
          <w:szCs w:val="24"/>
        </w:rPr>
      </w:pPr>
      <w:r w:rsidRPr="002272BF">
        <w:rPr>
          <w:rFonts w:asciiTheme="majorBidi" w:hAnsiTheme="majorBidi" w:cstheme="majorBidi"/>
          <w:sz w:val="24"/>
          <w:szCs w:val="24"/>
        </w:rPr>
        <w:lastRenderedPageBreak/>
        <w:t>Dalam mengarungi hidupnya manusia senantiasa didasari oleh suatu pemikiran, pertimbangan dan dasar-dasar tertentu. Manusia tidak sekedar menjalani hidup tanpa pertimbangan. Terdapat pemikiran-pemikiran tertentu yang mendasari manusia dalam menginginkan dan meraih sesuatu. Menurut H.C. Witherington ada tiga dasar motivasi dasar manusia dalam melakukan sesuatu yaitu lapar, proteksi diri dan seks.</w:t>
      </w:r>
      <w:r w:rsidRPr="002272BF">
        <w:rPr>
          <w:rStyle w:val="FootnoteReference"/>
          <w:rFonts w:asciiTheme="majorBidi" w:hAnsiTheme="majorBidi" w:cstheme="majorBidi"/>
          <w:sz w:val="24"/>
          <w:szCs w:val="24"/>
        </w:rPr>
        <w:footnoteReference w:id="3"/>
      </w:r>
    </w:p>
    <w:p w:rsidR="00364180" w:rsidRPr="002272BF" w:rsidRDefault="00364180" w:rsidP="00364180">
      <w:pPr>
        <w:pStyle w:val="ListParagraph"/>
        <w:spacing w:line="360" w:lineRule="auto"/>
        <w:ind w:left="0" w:firstLine="567"/>
        <w:jc w:val="both"/>
        <w:rPr>
          <w:rFonts w:asciiTheme="majorBidi" w:hAnsiTheme="majorBidi" w:cstheme="majorBidi"/>
        </w:rPr>
      </w:pPr>
      <w:r w:rsidRPr="002272BF">
        <w:rPr>
          <w:rFonts w:asciiTheme="majorBidi" w:hAnsiTheme="majorBidi" w:cstheme="majorBidi"/>
        </w:rPr>
        <w:t>Salah satu dasar motivasi manusia adalah seks. Seks dimaknai sebagai bentuk hubungan intim antar manusia guna melanjutkan keturunan. Ada beberapa istilah yang perlu disampaikan terkait masalah seks, seksual dan seksualitas. Seks adalah proses reproduksi atau perbedaan karakter jenis kelamin, dan bisa juga berkaitan dengan segala hal yang berkenaan dengan kesenangan atau kepuasan organ digabung dengan rangsangan-rangsangan organ-organ kemaluan atau terkait dengan percumbuan serta hubungan badan (</w:t>
      </w:r>
      <w:r w:rsidRPr="002272BF">
        <w:rPr>
          <w:rFonts w:asciiTheme="majorBidi" w:hAnsiTheme="majorBidi" w:cstheme="majorBidi"/>
          <w:i/>
          <w:iCs/>
        </w:rPr>
        <w:t>koitus</w:t>
      </w:r>
      <w:r w:rsidRPr="002272BF">
        <w:rPr>
          <w:rFonts w:asciiTheme="majorBidi" w:hAnsiTheme="majorBidi" w:cstheme="majorBidi"/>
        </w:rPr>
        <w:t xml:space="preserve">). Seksual adalah berkenaan dengan tingkah laku, perasaan atau emosi-emosi yang digabungkan dengan rangsangan organ-organ kemaluan, daerah </w:t>
      </w:r>
      <w:r w:rsidRPr="002272BF">
        <w:rPr>
          <w:rFonts w:asciiTheme="majorBidi" w:hAnsiTheme="majorBidi" w:cstheme="majorBidi"/>
          <w:i/>
          <w:iCs/>
        </w:rPr>
        <w:t>erogenous</w:t>
      </w:r>
      <w:r w:rsidRPr="002272BF">
        <w:rPr>
          <w:rFonts w:asciiTheme="majorBidi" w:hAnsiTheme="majorBidi" w:cstheme="majorBidi"/>
        </w:rPr>
        <w:t>, atau digabung dengan proses reproduksi. Seksualitas adalah kapasitas untuk memiliki seks atau untuk mengusahakan hubungan persetubuhan atau karakter yang sedang tertarik pada sudut pandang seksual.</w:t>
      </w:r>
      <w:r w:rsidRPr="002272BF">
        <w:rPr>
          <w:rStyle w:val="FootnoteReference"/>
          <w:rFonts w:asciiTheme="majorBidi" w:hAnsiTheme="majorBidi" w:cstheme="majorBidi"/>
        </w:rPr>
        <w:footnoteReference w:id="4"/>
      </w:r>
    </w:p>
    <w:p w:rsidR="00364180" w:rsidRPr="002272BF" w:rsidRDefault="00364180" w:rsidP="00364180">
      <w:pPr>
        <w:spacing w:after="0" w:line="360" w:lineRule="auto"/>
        <w:ind w:firstLine="567"/>
        <w:jc w:val="both"/>
        <w:rPr>
          <w:rFonts w:asciiTheme="majorBidi" w:hAnsiTheme="majorBidi" w:cstheme="majorBidi"/>
          <w:sz w:val="24"/>
          <w:szCs w:val="24"/>
        </w:rPr>
      </w:pPr>
      <w:r w:rsidRPr="002272BF">
        <w:rPr>
          <w:rFonts w:asciiTheme="majorBidi" w:hAnsiTheme="majorBidi" w:cstheme="majorBidi"/>
          <w:sz w:val="24"/>
          <w:szCs w:val="24"/>
        </w:rPr>
        <w:t>Seks bersifat naluriah pada manusia. Seks juga merupakan kebutuhan dasar manusia. Jika manusia dikekang dan dikebiri hasrat seksnya maka akan muncul berbagai dampak negatif yang mengitarinya maupun di lingkungan sekitarnya. Namun seks juga tidak bisa diberlakukan sebebas-bebasnya. Perlu pengelolaan (bimbingan) terhadap perilaku seks manusia agar tidak berdampak negatif pada diri maupun lingkungan. Di sinilah Islam sebagai agama yang memiliki keseimbangan ajaran dunia maupun akhirat berperan dalam membingkai dan menga</w:t>
      </w:r>
      <w:r>
        <w:rPr>
          <w:rFonts w:asciiTheme="majorBidi" w:hAnsiTheme="majorBidi" w:cstheme="majorBidi"/>
          <w:sz w:val="24"/>
          <w:szCs w:val="24"/>
        </w:rPr>
        <w:t>rahkan</w:t>
      </w:r>
      <w:r w:rsidRPr="002272BF">
        <w:rPr>
          <w:rFonts w:asciiTheme="majorBidi" w:hAnsiTheme="majorBidi" w:cstheme="majorBidi"/>
          <w:sz w:val="24"/>
          <w:szCs w:val="24"/>
        </w:rPr>
        <w:t xml:space="preserve"> naluri seks umat manusia melalui sumber ajarannya yang tertuang dalam al-Quran maupun sunnah nabi agar selaras dengan tuntunan ilahi.</w:t>
      </w:r>
    </w:p>
    <w:p w:rsidR="00364180" w:rsidRPr="002272BF" w:rsidRDefault="00364180" w:rsidP="00364180">
      <w:pPr>
        <w:spacing w:after="0" w:line="360" w:lineRule="auto"/>
        <w:ind w:firstLine="567"/>
        <w:jc w:val="both"/>
        <w:rPr>
          <w:rFonts w:asciiTheme="majorBidi" w:hAnsiTheme="majorBidi" w:cstheme="majorBidi"/>
          <w:sz w:val="24"/>
          <w:szCs w:val="24"/>
        </w:rPr>
      </w:pPr>
      <w:r w:rsidRPr="002272BF">
        <w:rPr>
          <w:rFonts w:asciiTheme="majorBidi" w:hAnsiTheme="majorBidi" w:cstheme="majorBidi"/>
          <w:sz w:val="24"/>
          <w:szCs w:val="24"/>
        </w:rPr>
        <w:t>Islam tidah hadir sebagai pengekang apalagi mematikan nafsu seks. Islam memberikan panduan dan bimbingan bagaimana perilaku seksual memiliki manfaat dan bernilai. Panduan dan bimbingan yang diberikan dimaknai sebagai pendidikan seks atau reproduksi (</w:t>
      </w:r>
      <w:r w:rsidRPr="002272BF">
        <w:rPr>
          <w:rFonts w:asciiTheme="majorBidi" w:hAnsiTheme="majorBidi" w:cstheme="majorBidi"/>
          <w:i/>
          <w:iCs/>
          <w:sz w:val="24"/>
          <w:szCs w:val="24"/>
        </w:rPr>
        <w:t>sex education</w:t>
      </w:r>
      <w:r w:rsidRPr="002272BF">
        <w:rPr>
          <w:rFonts w:asciiTheme="majorBidi" w:hAnsiTheme="majorBidi" w:cstheme="majorBidi"/>
          <w:sz w:val="24"/>
          <w:szCs w:val="24"/>
        </w:rPr>
        <w:t>).</w:t>
      </w:r>
    </w:p>
    <w:p w:rsidR="00364180" w:rsidRPr="002272BF" w:rsidRDefault="00364180" w:rsidP="00364180">
      <w:pPr>
        <w:spacing w:after="0" w:line="360" w:lineRule="auto"/>
        <w:ind w:firstLine="567"/>
        <w:jc w:val="both"/>
        <w:rPr>
          <w:rFonts w:asciiTheme="majorBidi" w:hAnsiTheme="majorBidi" w:cstheme="majorBidi"/>
          <w:sz w:val="24"/>
          <w:szCs w:val="24"/>
        </w:rPr>
      </w:pPr>
      <w:r w:rsidRPr="002272BF">
        <w:rPr>
          <w:rFonts w:asciiTheme="majorBidi" w:hAnsiTheme="majorBidi" w:cstheme="majorBidi"/>
          <w:sz w:val="24"/>
          <w:szCs w:val="24"/>
        </w:rPr>
        <w:t>Pendidikan seks menurut perspektif Islam tentu memiliki perbedaan dengan pendidikan seks menurut perspektif Barat. Namun keduanya juga memiliki persamaan dan tidak perlu dipertentangkan. Keduanya bisa saling melengkapi.</w:t>
      </w:r>
    </w:p>
    <w:p w:rsidR="00364180" w:rsidRPr="002272BF" w:rsidRDefault="00364180" w:rsidP="00364180">
      <w:pPr>
        <w:spacing w:after="0" w:line="360" w:lineRule="auto"/>
        <w:ind w:firstLine="567"/>
        <w:jc w:val="both"/>
        <w:rPr>
          <w:rFonts w:asciiTheme="majorBidi" w:hAnsiTheme="majorBidi" w:cstheme="majorBidi"/>
          <w:sz w:val="24"/>
          <w:szCs w:val="24"/>
        </w:rPr>
      </w:pPr>
      <w:r w:rsidRPr="002272BF">
        <w:rPr>
          <w:rFonts w:asciiTheme="majorBidi" w:hAnsiTheme="majorBidi" w:cstheme="majorBidi"/>
          <w:sz w:val="24"/>
          <w:szCs w:val="24"/>
        </w:rPr>
        <w:lastRenderedPageBreak/>
        <w:t>Pertanyaannya kemudian adalah apakah pendidikan seks itu? Apa tujuannya dan bagaimana hakikat pendidikan seks itu? Apakah pendidikan seks itu hanya sekedar teknik dalam berhubungan seksual semata atau ada hal lain yang melingkupinya? Bagaimana peran Islam dalam hal demikian? Inilah beberapa pertanyaan penting yang perlu dipecahkan agar tidak menimbulkan kesalahpahaman (</w:t>
      </w:r>
      <w:r w:rsidRPr="002272BF">
        <w:rPr>
          <w:rFonts w:asciiTheme="majorBidi" w:hAnsiTheme="majorBidi" w:cstheme="majorBidi"/>
          <w:i/>
          <w:iCs/>
          <w:sz w:val="24"/>
          <w:szCs w:val="24"/>
        </w:rPr>
        <w:t>misunderstanding</w:t>
      </w:r>
      <w:r w:rsidRPr="002272BF">
        <w:rPr>
          <w:rFonts w:asciiTheme="majorBidi" w:hAnsiTheme="majorBidi" w:cstheme="majorBidi"/>
          <w:sz w:val="24"/>
          <w:szCs w:val="24"/>
        </w:rPr>
        <w:t>) terhadap pendidikan seks.</w:t>
      </w:r>
    </w:p>
    <w:p w:rsidR="00364180" w:rsidRPr="002272BF" w:rsidRDefault="00364180" w:rsidP="00364180">
      <w:pPr>
        <w:spacing w:after="0" w:line="360" w:lineRule="auto"/>
        <w:ind w:firstLine="567"/>
        <w:jc w:val="both"/>
        <w:rPr>
          <w:rFonts w:asciiTheme="majorBidi" w:hAnsiTheme="majorBidi" w:cstheme="majorBidi"/>
          <w:sz w:val="24"/>
          <w:szCs w:val="24"/>
        </w:rPr>
      </w:pPr>
      <w:r w:rsidRPr="002272BF">
        <w:rPr>
          <w:rFonts w:asciiTheme="majorBidi" w:hAnsiTheme="majorBidi" w:cstheme="majorBidi"/>
          <w:sz w:val="24"/>
          <w:szCs w:val="24"/>
        </w:rPr>
        <w:t>Ada beberapa definisi terkait pendidikan seks yang dikemukakan para pakar. Menurut Arif Rahman Hakim yang dikutip Anshori, pendidikan seks adalah perlakuan proses sadar dan sistematis di sekolah, keluarga dan masyarakat untuk menyampaikan proses perkelaminan menurut ilmu kesehatan, agama dan norma yang sudah ditetapkan masyarakat (moral).</w:t>
      </w:r>
      <w:r w:rsidRPr="002272BF">
        <w:rPr>
          <w:rStyle w:val="FootnoteReference"/>
          <w:rFonts w:asciiTheme="majorBidi" w:hAnsiTheme="majorBidi" w:cstheme="majorBidi"/>
          <w:sz w:val="24"/>
          <w:szCs w:val="24"/>
        </w:rPr>
        <w:footnoteReference w:id="5"/>
      </w:r>
    </w:p>
    <w:p w:rsidR="00364180" w:rsidRPr="002272BF" w:rsidRDefault="00364180" w:rsidP="00364180">
      <w:pPr>
        <w:spacing w:after="0" w:line="360" w:lineRule="auto"/>
        <w:ind w:firstLine="567"/>
        <w:jc w:val="both"/>
        <w:rPr>
          <w:rFonts w:asciiTheme="majorBidi" w:hAnsiTheme="majorBidi" w:cstheme="majorBidi"/>
          <w:b/>
          <w:bCs/>
          <w:sz w:val="24"/>
          <w:szCs w:val="24"/>
        </w:rPr>
      </w:pPr>
      <w:r w:rsidRPr="002272BF">
        <w:rPr>
          <w:rFonts w:asciiTheme="majorBidi" w:hAnsiTheme="majorBidi" w:cstheme="majorBidi"/>
          <w:sz w:val="24"/>
          <w:szCs w:val="24"/>
        </w:rPr>
        <w:t>Sedangkan menurut Utsman ath-Thawiil pendidikan seksual adalah memberikan pelajaran dan pengertian kepada anak laki-laki maupun perempuan sejak mereka mulai memasuki usia balig serta berterus terang kepadanya tentang masalah-masalah yang berhubungan seks, naluri dan perkawinan.</w:t>
      </w:r>
      <w:r w:rsidRPr="002272BF">
        <w:rPr>
          <w:rStyle w:val="FootnoteReference"/>
          <w:rFonts w:asciiTheme="majorBidi" w:hAnsiTheme="majorBidi" w:cstheme="majorBidi"/>
          <w:sz w:val="24"/>
          <w:szCs w:val="24"/>
        </w:rPr>
        <w:footnoteReference w:id="6"/>
      </w:r>
      <w:r w:rsidRPr="002272BF">
        <w:rPr>
          <w:rFonts w:asciiTheme="majorBidi" w:hAnsiTheme="majorBidi" w:cstheme="majorBidi"/>
          <w:b/>
          <w:bCs/>
          <w:sz w:val="24"/>
          <w:szCs w:val="24"/>
        </w:rPr>
        <w:t xml:space="preserve"> </w:t>
      </w:r>
      <w:r w:rsidRPr="002272BF">
        <w:rPr>
          <w:rFonts w:asciiTheme="majorBidi" w:hAnsiTheme="majorBidi" w:cstheme="majorBidi"/>
          <w:sz w:val="24"/>
          <w:szCs w:val="24"/>
        </w:rPr>
        <w:t>Anshori LAL memaknai pendidikan seks menurut Islam sebagai pendidikan yang mengajarkan materi-materi tentang perkelaminan dalam kerangka ajaran agama.</w:t>
      </w:r>
      <w:r w:rsidRPr="002272BF">
        <w:rPr>
          <w:rStyle w:val="FootnoteReference"/>
          <w:rFonts w:asciiTheme="majorBidi" w:hAnsiTheme="majorBidi" w:cstheme="majorBidi"/>
          <w:sz w:val="24"/>
          <w:szCs w:val="24"/>
        </w:rPr>
        <w:footnoteReference w:id="7"/>
      </w:r>
    </w:p>
    <w:p w:rsidR="00364180" w:rsidRPr="002272BF" w:rsidRDefault="00364180" w:rsidP="00364180">
      <w:pPr>
        <w:spacing w:after="0" w:line="360" w:lineRule="auto"/>
        <w:ind w:firstLine="567"/>
        <w:jc w:val="both"/>
        <w:rPr>
          <w:rFonts w:asciiTheme="majorBidi" w:hAnsiTheme="majorBidi" w:cstheme="majorBidi"/>
          <w:sz w:val="24"/>
          <w:szCs w:val="24"/>
        </w:rPr>
      </w:pPr>
      <w:r w:rsidRPr="002272BF">
        <w:rPr>
          <w:rFonts w:asciiTheme="majorBidi" w:hAnsiTheme="majorBidi" w:cstheme="majorBidi"/>
          <w:sz w:val="24"/>
          <w:szCs w:val="24"/>
        </w:rPr>
        <w:t>Beragam maknai tentang pendidikan seks di atas memilik persamaan yakni pendidikan yang berhubungan dengan masalah seksualitas dan yang terkait dengannya yang diberikan oleh orang dewasa kepada generasi muda (usia dini, remaja dan dewasa) sesuai dengan kerangka ajaran agama (Islam), moral, dan kesehatan. Definisi di atas juga memberikan gambaran bahwa pendidikan seks (reproduksi) dapat diberikan dan disampaikan sejak anak memasuki usia remaja (balig).</w:t>
      </w:r>
    </w:p>
    <w:p w:rsidR="00364180" w:rsidRPr="002272BF" w:rsidRDefault="00364180" w:rsidP="00364180">
      <w:pPr>
        <w:spacing w:after="0" w:line="360" w:lineRule="auto"/>
        <w:jc w:val="both"/>
        <w:rPr>
          <w:rFonts w:asciiTheme="majorBidi" w:hAnsiTheme="majorBidi" w:cstheme="majorBidi"/>
          <w:b/>
          <w:bCs/>
          <w:sz w:val="24"/>
          <w:szCs w:val="24"/>
        </w:rPr>
      </w:pPr>
    </w:p>
    <w:p w:rsidR="00364180" w:rsidRPr="002272BF" w:rsidRDefault="00364180" w:rsidP="00364180">
      <w:pPr>
        <w:spacing w:after="0" w:line="360" w:lineRule="auto"/>
        <w:jc w:val="both"/>
        <w:rPr>
          <w:rFonts w:asciiTheme="majorBidi" w:hAnsiTheme="majorBidi" w:cstheme="majorBidi"/>
          <w:b/>
          <w:bCs/>
          <w:sz w:val="24"/>
          <w:szCs w:val="24"/>
        </w:rPr>
      </w:pPr>
      <w:r w:rsidRPr="002272BF">
        <w:rPr>
          <w:rFonts w:asciiTheme="majorBidi" w:hAnsiTheme="majorBidi" w:cstheme="majorBidi"/>
          <w:b/>
          <w:bCs/>
          <w:sz w:val="24"/>
          <w:szCs w:val="24"/>
        </w:rPr>
        <w:t>Pandangan Islam tentang Pendidikan Seks</w:t>
      </w:r>
    </w:p>
    <w:p w:rsidR="00364180" w:rsidRPr="002272BF" w:rsidRDefault="00364180" w:rsidP="00364180">
      <w:pPr>
        <w:spacing w:after="0" w:line="360" w:lineRule="auto"/>
        <w:ind w:firstLine="567"/>
        <w:jc w:val="both"/>
        <w:rPr>
          <w:rFonts w:asciiTheme="majorBidi" w:hAnsiTheme="majorBidi" w:cstheme="majorBidi"/>
          <w:sz w:val="24"/>
          <w:szCs w:val="24"/>
        </w:rPr>
      </w:pPr>
      <w:r w:rsidRPr="002272BF">
        <w:rPr>
          <w:rFonts w:asciiTheme="majorBidi" w:hAnsiTheme="majorBidi" w:cstheme="majorBidi"/>
          <w:sz w:val="24"/>
          <w:szCs w:val="24"/>
        </w:rPr>
        <w:t xml:space="preserve">Daya tarik seks pada manusia adalah sama alamiahnya dengan yang terdapat pada spesies binatang lain, walaupun motivasinya berbeda-beda. Sehingga seks tidak bisa dianggap sebagai sesuatu yang jorok dan tercela sebab seks merupakan bagian dari </w:t>
      </w:r>
      <w:r w:rsidRPr="002272BF">
        <w:rPr>
          <w:rFonts w:asciiTheme="majorBidi" w:hAnsiTheme="majorBidi" w:cstheme="majorBidi"/>
          <w:i/>
          <w:iCs/>
          <w:sz w:val="24"/>
          <w:szCs w:val="24"/>
        </w:rPr>
        <w:lastRenderedPageBreak/>
        <w:t>sunatullah</w:t>
      </w:r>
      <w:r w:rsidRPr="002272BF">
        <w:rPr>
          <w:rFonts w:asciiTheme="majorBidi" w:hAnsiTheme="majorBidi" w:cstheme="majorBidi"/>
          <w:sz w:val="24"/>
          <w:szCs w:val="24"/>
        </w:rPr>
        <w:t>.</w:t>
      </w:r>
      <w:r w:rsidRPr="002272BF">
        <w:rPr>
          <w:rStyle w:val="FootnoteReference"/>
          <w:rFonts w:asciiTheme="majorBidi" w:hAnsiTheme="majorBidi" w:cstheme="majorBidi"/>
          <w:sz w:val="24"/>
          <w:szCs w:val="24"/>
        </w:rPr>
        <w:footnoteReference w:id="8"/>
      </w:r>
      <w:r w:rsidRPr="002272BF">
        <w:rPr>
          <w:rFonts w:asciiTheme="majorBidi" w:hAnsiTheme="majorBidi" w:cstheme="majorBidi"/>
          <w:sz w:val="24"/>
          <w:szCs w:val="24"/>
        </w:rPr>
        <w:t xml:space="preserve"> Berbicara tentang seks dalam Islam tidak bisa dilepaskan dari ajaran Islam itu sendiri, karena di situlah acuan umat dalam menggali, mengkaji dan mengembangkan tema seputar seksual. Tema seks dalam Islam juga tidak terlepas dari bahasan akidah, ibadah dan akhlak. Seks selalu berkaitan dengan ketiga hal tersebut.</w:t>
      </w:r>
    </w:p>
    <w:p w:rsidR="00364180" w:rsidRPr="002272BF" w:rsidRDefault="00364180" w:rsidP="00364180">
      <w:pPr>
        <w:spacing w:after="0" w:line="360" w:lineRule="auto"/>
        <w:ind w:firstLine="567"/>
        <w:jc w:val="both"/>
        <w:rPr>
          <w:rFonts w:asciiTheme="majorBidi" w:hAnsiTheme="majorBidi" w:cstheme="majorBidi"/>
          <w:sz w:val="24"/>
          <w:szCs w:val="24"/>
        </w:rPr>
      </w:pPr>
      <w:r w:rsidRPr="002272BF">
        <w:rPr>
          <w:rFonts w:asciiTheme="majorBidi" w:hAnsiTheme="majorBidi" w:cstheme="majorBidi"/>
          <w:sz w:val="24"/>
          <w:szCs w:val="24"/>
        </w:rPr>
        <w:t>Islam hadir sebagai penyempurna kehidupan umat manusia, yang memiliki orientasi dunia dan akhirat. Seks sebagai naluri alami manusia mendapat tempat dalam ajaran Islam yang dibawa oleh nabi Muhammad saw. Islam mengatur bagaimana seks ditempatkan sebagai bagian dari proses regenerasi umat manusia, bagian kesenangan dan penyaluran hasrat seks secara benar dan bermanfaat. Jika ditelaah lebih lanjut banyak sumber ajaran Islam dalam al-Quran maupun hadis nabi yang berkaitan dengan kehidupan seksual manusia.</w:t>
      </w:r>
    </w:p>
    <w:p w:rsidR="00364180" w:rsidRPr="002272BF" w:rsidRDefault="00364180" w:rsidP="00364180">
      <w:pPr>
        <w:pStyle w:val="ListParagraph"/>
        <w:spacing w:line="360" w:lineRule="auto"/>
        <w:ind w:left="0" w:firstLine="567"/>
        <w:jc w:val="both"/>
        <w:rPr>
          <w:rFonts w:asciiTheme="majorBidi" w:hAnsiTheme="majorBidi" w:cstheme="majorBidi"/>
        </w:rPr>
      </w:pPr>
      <w:r w:rsidRPr="002272BF">
        <w:rPr>
          <w:rFonts w:asciiTheme="majorBidi" w:hAnsiTheme="majorBidi" w:cstheme="majorBidi"/>
        </w:rPr>
        <w:t>Islam telah memberikan bimbingan pendidikan seks sejak manusia itu lahir yang ditandai dengan berbagai kegiatan seperti mengazankan dan mengiqamahkan bayi yang baru lahir, mendoakan dan meminta perlindungan Allah, mengaqiqahkan bayi, mengkhitankan anak laki-laki, menutup aurat, mengajarkan salat pada  masa anak-anak, larangan melihat aurat, larangan melihat lawan jenis dengan hasrat dan sebagainya.</w:t>
      </w:r>
      <w:r w:rsidRPr="002272BF">
        <w:rPr>
          <w:rStyle w:val="FootnoteReference"/>
          <w:rFonts w:asciiTheme="majorBidi" w:hAnsiTheme="majorBidi" w:cstheme="majorBidi"/>
        </w:rPr>
        <w:footnoteReference w:id="9"/>
      </w:r>
    </w:p>
    <w:p w:rsidR="00364180" w:rsidRPr="002272BF" w:rsidRDefault="00364180" w:rsidP="00364180">
      <w:pPr>
        <w:spacing w:after="0" w:line="360" w:lineRule="auto"/>
        <w:ind w:firstLine="567"/>
        <w:jc w:val="both"/>
        <w:rPr>
          <w:rFonts w:asciiTheme="majorBidi" w:hAnsiTheme="majorBidi" w:cstheme="majorBidi"/>
          <w:sz w:val="24"/>
          <w:szCs w:val="24"/>
        </w:rPr>
      </w:pPr>
      <w:r w:rsidRPr="002272BF">
        <w:rPr>
          <w:rFonts w:asciiTheme="majorBidi" w:hAnsiTheme="majorBidi" w:cstheme="majorBidi"/>
          <w:sz w:val="24"/>
          <w:szCs w:val="24"/>
        </w:rPr>
        <w:t>Ada beberapa ayat al-Quran yang berbicara tentang masalah seks. Di antaranya dalam Q.S. Ali Imran [3]: 14.</w:t>
      </w:r>
    </w:p>
    <w:p w:rsidR="00364180" w:rsidRPr="002272BF" w:rsidRDefault="00364180" w:rsidP="00364180">
      <w:pPr>
        <w:spacing w:after="0" w:line="360" w:lineRule="auto"/>
        <w:ind w:left="567"/>
        <w:jc w:val="both"/>
        <w:rPr>
          <w:rFonts w:asciiTheme="majorBidi" w:hAnsiTheme="majorBidi" w:cstheme="majorBidi"/>
          <w:sz w:val="24"/>
          <w:szCs w:val="24"/>
        </w:rPr>
      </w:pPr>
      <w:r w:rsidRPr="002272BF">
        <w:rPr>
          <w:rFonts w:asciiTheme="majorBidi" w:hAnsiTheme="majorBidi" w:cstheme="majorBidi"/>
          <w:sz w:val="24"/>
          <w:szCs w:val="24"/>
        </w:rPr>
        <w:t>Dijadikan terasa indah dalam pandangan manusia cinta terhadap apa yang diinginkan berupa perempuan-perempuan, anak-anak, harta benda yang bertumpuk dalam bentuk emas dan perak, kuda pilihan, hewan ternak dan sawah ladang. Itulah kesenangan hidup di dunia dan di sisi Allahlah tempat kembali yang baik.</w:t>
      </w:r>
    </w:p>
    <w:p w:rsidR="00364180" w:rsidRPr="002272BF" w:rsidRDefault="00364180" w:rsidP="00364180">
      <w:pPr>
        <w:spacing w:after="0" w:line="360" w:lineRule="auto"/>
        <w:ind w:firstLine="567"/>
        <w:jc w:val="both"/>
        <w:rPr>
          <w:rFonts w:asciiTheme="majorBidi" w:hAnsiTheme="majorBidi" w:cstheme="majorBidi"/>
          <w:sz w:val="24"/>
          <w:szCs w:val="24"/>
        </w:rPr>
      </w:pPr>
      <w:r w:rsidRPr="002272BF">
        <w:rPr>
          <w:rFonts w:asciiTheme="majorBidi" w:hAnsiTheme="majorBidi" w:cstheme="majorBidi"/>
          <w:sz w:val="24"/>
          <w:szCs w:val="24"/>
        </w:rPr>
        <w:t>Selain ayat di atas, terdapat ayat-ayat lain yang berkaitan dengan pendidikan seks yaitu Q.S. an-Nisa [4]: 1, Q.S. al-A’raf [7]: 80-81, Q.S. Yusuf [12]: 23-30, Q.S. al-Isra [17]: 32, Q.S. al-Mu’minun [23]: 5-7, Q.S. an-Nur [24]: 30-31 dan 59-61, Q.S. ar-Rum [30]: 21, Q.S. al-Ahzab [33]: 59, Q.S. al-Hujurat [49]: 13, Q.S. aż-Żariyat [51]: 49, dan Q.S. an-Najm [53]: 45-46.</w:t>
      </w:r>
    </w:p>
    <w:p w:rsidR="00364180" w:rsidRPr="002272BF" w:rsidRDefault="00364180" w:rsidP="00364180">
      <w:pPr>
        <w:spacing w:after="0" w:line="360" w:lineRule="auto"/>
        <w:ind w:firstLine="567"/>
        <w:jc w:val="both"/>
        <w:rPr>
          <w:rFonts w:asciiTheme="majorBidi" w:hAnsiTheme="majorBidi" w:cstheme="majorBidi"/>
          <w:sz w:val="24"/>
          <w:szCs w:val="24"/>
        </w:rPr>
      </w:pPr>
      <w:r w:rsidRPr="002272BF">
        <w:rPr>
          <w:rFonts w:asciiTheme="majorBidi" w:hAnsiTheme="majorBidi" w:cstheme="majorBidi"/>
          <w:sz w:val="24"/>
          <w:szCs w:val="24"/>
        </w:rPr>
        <w:t>Selain ayat-ayat</w:t>
      </w:r>
      <w:r>
        <w:rPr>
          <w:rFonts w:asciiTheme="majorBidi" w:hAnsiTheme="majorBidi" w:cstheme="majorBidi"/>
          <w:sz w:val="24"/>
          <w:szCs w:val="24"/>
        </w:rPr>
        <w:t xml:space="preserve"> dalam</w:t>
      </w:r>
      <w:r w:rsidRPr="002272BF">
        <w:rPr>
          <w:rFonts w:asciiTheme="majorBidi" w:hAnsiTheme="majorBidi" w:cstheme="majorBidi"/>
          <w:sz w:val="24"/>
          <w:szCs w:val="24"/>
        </w:rPr>
        <w:t xml:space="preserve"> al-Quran, terdapat pula hadis-hadis </w:t>
      </w:r>
      <w:r>
        <w:rPr>
          <w:rFonts w:asciiTheme="majorBidi" w:hAnsiTheme="majorBidi" w:cstheme="majorBidi"/>
          <w:sz w:val="24"/>
          <w:szCs w:val="24"/>
        </w:rPr>
        <w:t xml:space="preserve">nabi </w:t>
      </w:r>
      <w:r w:rsidRPr="002272BF">
        <w:rPr>
          <w:rFonts w:asciiTheme="majorBidi" w:hAnsiTheme="majorBidi" w:cstheme="majorBidi"/>
          <w:sz w:val="24"/>
          <w:szCs w:val="24"/>
        </w:rPr>
        <w:t>yang berbicara tentang pendidikan seks dengan bahasa yang tidak langsung seperti berikut.</w:t>
      </w:r>
    </w:p>
    <w:p w:rsidR="00364180" w:rsidRPr="0030268F" w:rsidRDefault="00364180" w:rsidP="00364180">
      <w:pPr>
        <w:pStyle w:val="5wj-"/>
        <w:shd w:val="clear" w:color="auto" w:fill="FFFFFF"/>
        <w:bidi/>
        <w:spacing w:before="0" w:beforeAutospacing="0" w:after="0" w:afterAutospacing="0"/>
        <w:jc w:val="both"/>
        <w:rPr>
          <w:rFonts w:ascii="Traditional Arabic" w:hAnsi="Traditional Arabic" w:cs="Traditional Arabic"/>
          <w:sz w:val="32"/>
          <w:szCs w:val="32"/>
          <w:rtl/>
        </w:rPr>
      </w:pPr>
      <w:r w:rsidRPr="0030268F">
        <w:rPr>
          <w:rFonts w:ascii="Traditional Arabic" w:hAnsi="Traditional Arabic" w:cs="Traditional Arabic"/>
          <w:sz w:val="32"/>
          <w:szCs w:val="32"/>
          <w:rtl/>
        </w:rPr>
        <w:t>قَالَ يَا أَسْمَاءُ إِنَّ الْمَرْأَةَ إِذَا بَلَغَتِ الْمَحِيضَ لَمْ تَصْلُحْ أَنْ يُرَى مِنْهَا إِلاَّ هَذَا وَهَذَا وَأَشَارَ إِلَى وَجْهِهِ وَكَفَّيْهِ</w:t>
      </w:r>
    </w:p>
    <w:p w:rsidR="00364180" w:rsidRPr="002272BF" w:rsidRDefault="00364180" w:rsidP="00364180">
      <w:pPr>
        <w:pStyle w:val="NormalWeb"/>
        <w:shd w:val="clear" w:color="auto" w:fill="FFFFFF"/>
        <w:spacing w:before="0" w:beforeAutospacing="0" w:after="0" w:afterAutospacing="0"/>
        <w:jc w:val="both"/>
        <w:rPr>
          <w:rFonts w:asciiTheme="majorBidi" w:hAnsiTheme="majorBidi" w:cstheme="majorBidi"/>
        </w:rPr>
      </w:pPr>
      <w:r w:rsidRPr="002272BF">
        <w:rPr>
          <w:rFonts w:ascii="Simplified Arabic" w:hAnsi="Simplified Arabic" w:cs="Simplified Arabic"/>
          <w:sz w:val="21"/>
          <w:szCs w:val="21"/>
        </w:rPr>
        <w:lastRenderedPageBreak/>
        <w:t> </w:t>
      </w:r>
      <w:r w:rsidRPr="002272BF">
        <w:rPr>
          <w:rFonts w:asciiTheme="majorBidi" w:hAnsiTheme="majorBidi" w:cstheme="majorBidi"/>
          <w:lang w:val="id-ID"/>
        </w:rPr>
        <w:t xml:space="preserve">“Wahai Asma: Sesungguhnya seorang wanita, apabila telah balig (mengalami haid), tidak layak tampak dari tubuhnya kecuali ini dan ini (seraya menunjuk muka dan telapak tangannya).” </w:t>
      </w:r>
      <w:r>
        <w:rPr>
          <w:rFonts w:asciiTheme="majorBidi" w:hAnsiTheme="majorBidi" w:cstheme="majorBidi"/>
        </w:rPr>
        <w:t>(HR Abu Da</w:t>
      </w:r>
      <w:r w:rsidRPr="002272BF">
        <w:rPr>
          <w:rFonts w:asciiTheme="majorBidi" w:hAnsiTheme="majorBidi" w:cstheme="majorBidi"/>
        </w:rPr>
        <w:t>ud).</w:t>
      </w:r>
    </w:p>
    <w:p w:rsidR="00364180" w:rsidRPr="002272BF" w:rsidRDefault="00364180" w:rsidP="00364180">
      <w:pPr>
        <w:spacing w:after="0" w:line="360" w:lineRule="auto"/>
        <w:ind w:firstLine="567"/>
        <w:jc w:val="both"/>
        <w:rPr>
          <w:rFonts w:asciiTheme="majorBidi" w:hAnsiTheme="majorBidi" w:cstheme="majorBidi"/>
          <w:sz w:val="24"/>
          <w:szCs w:val="24"/>
        </w:rPr>
      </w:pPr>
    </w:p>
    <w:p w:rsidR="00364180" w:rsidRPr="0030268F" w:rsidRDefault="00364180" w:rsidP="00364180">
      <w:pPr>
        <w:bidi/>
        <w:spacing w:after="0" w:line="240" w:lineRule="auto"/>
        <w:ind w:left="-58"/>
        <w:jc w:val="both"/>
        <w:rPr>
          <w:rFonts w:ascii="Traditional Arabic" w:eastAsia="Times New Roman" w:hAnsi="Traditional Arabic" w:cs="Traditional Arabic"/>
          <w:sz w:val="32"/>
          <w:szCs w:val="32"/>
          <w:rtl/>
        </w:rPr>
      </w:pPr>
      <w:r w:rsidRPr="0030268F">
        <w:rPr>
          <w:rFonts w:ascii="Traditional Arabic" w:eastAsia="Times New Roman" w:hAnsi="Traditional Arabic" w:cs="Traditional Arabic"/>
          <w:sz w:val="32"/>
          <w:szCs w:val="32"/>
          <w:rtl/>
        </w:rPr>
        <w:t>مُرُوا أَوْلاَدَكُمْ بِالصَّلاَةِ وَهُمْ أَبْنَاءُ سَبْعِ سِنِينَ وَاضْرِبُوهُمْ عَلَيْهَا وَهُمْ أَبْنَاءُ عَشْرِ سِنِينَ وَفَرِّقُوا بَيْنَهُمْ فِي الْمَضَاجِعِ</w:t>
      </w:r>
    </w:p>
    <w:p w:rsidR="00364180" w:rsidRDefault="00364180" w:rsidP="00364180">
      <w:pPr>
        <w:spacing w:after="0" w:line="240" w:lineRule="auto"/>
        <w:ind w:left="567"/>
        <w:jc w:val="both"/>
        <w:rPr>
          <w:rFonts w:asciiTheme="majorBidi" w:eastAsia="Times New Roman" w:hAnsiTheme="majorBidi" w:cstheme="majorBidi"/>
          <w:sz w:val="24"/>
          <w:szCs w:val="24"/>
        </w:rPr>
      </w:pPr>
      <w:r w:rsidRPr="002272BF">
        <w:rPr>
          <w:rFonts w:ascii="Simplified Arabic" w:eastAsia="Times New Roman" w:hAnsi="Simplified Arabic" w:cs="Simplified Arabic"/>
          <w:sz w:val="24"/>
          <w:szCs w:val="24"/>
        </w:rPr>
        <w:t>"</w:t>
      </w:r>
      <w:r w:rsidRPr="002272BF">
        <w:rPr>
          <w:rFonts w:asciiTheme="majorBidi" w:eastAsia="Times New Roman" w:hAnsiTheme="majorBidi" w:cstheme="majorBidi"/>
          <w:sz w:val="24"/>
          <w:szCs w:val="24"/>
        </w:rPr>
        <w:t>Perintahkan anak-anak kalian untuk melakukan shalat saat mereka berusia tujuh tahun, dan pukullah jika mereka telah berusia sepuluh tahun, serta pisahkan mereka di te</w:t>
      </w:r>
      <w:r>
        <w:rPr>
          <w:rFonts w:asciiTheme="majorBidi" w:eastAsia="Times New Roman" w:hAnsiTheme="majorBidi" w:cstheme="majorBidi"/>
          <w:sz w:val="24"/>
          <w:szCs w:val="24"/>
        </w:rPr>
        <w:t>mpat tidur mereka." (HR. Abu Da</w:t>
      </w:r>
      <w:r w:rsidRPr="002272BF">
        <w:rPr>
          <w:rFonts w:asciiTheme="majorBidi" w:eastAsia="Times New Roman" w:hAnsiTheme="majorBidi" w:cstheme="majorBidi"/>
          <w:sz w:val="24"/>
          <w:szCs w:val="24"/>
        </w:rPr>
        <w:t>ud).</w:t>
      </w:r>
    </w:p>
    <w:p w:rsidR="00364180" w:rsidRPr="0030268F" w:rsidRDefault="00364180" w:rsidP="00364180">
      <w:pPr>
        <w:spacing w:after="0" w:line="240" w:lineRule="auto"/>
        <w:ind w:left="567"/>
        <w:jc w:val="both"/>
        <w:rPr>
          <w:rFonts w:asciiTheme="majorBidi" w:eastAsia="Times New Roman" w:hAnsiTheme="majorBidi" w:cstheme="majorBidi"/>
          <w:sz w:val="24"/>
          <w:szCs w:val="24"/>
        </w:rPr>
      </w:pPr>
    </w:p>
    <w:p w:rsidR="00364180" w:rsidRPr="0030268F" w:rsidRDefault="00364180" w:rsidP="00364180">
      <w:pPr>
        <w:spacing w:after="0" w:line="240" w:lineRule="auto"/>
        <w:ind w:left="567"/>
        <w:jc w:val="both"/>
        <w:rPr>
          <w:rFonts w:ascii="Simplified Arabic" w:hAnsi="Simplified Arabic" w:cs="Simplified Arabic"/>
          <w:sz w:val="24"/>
          <w:szCs w:val="24"/>
        </w:rPr>
      </w:pPr>
    </w:p>
    <w:p w:rsidR="00364180" w:rsidRDefault="00364180" w:rsidP="00364180">
      <w:pPr>
        <w:bidi/>
        <w:spacing w:after="0" w:line="240" w:lineRule="auto"/>
        <w:ind w:left="84"/>
        <w:rPr>
          <w:rFonts w:ascii="Traditional Arabic" w:hAnsi="Traditional Arabic" w:cs="Traditional Arabic"/>
          <w:sz w:val="32"/>
          <w:szCs w:val="32"/>
          <w:shd w:val="clear" w:color="auto" w:fill="FFFFFF"/>
        </w:rPr>
      </w:pPr>
      <w:r w:rsidRPr="0030268F">
        <w:rPr>
          <w:rFonts w:ascii="Traditional Arabic" w:hAnsi="Traditional Arabic" w:cs="Traditional Arabic"/>
          <w:sz w:val="32"/>
          <w:szCs w:val="32"/>
          <w:shd w:val="clear" w:color="auto" w:fill="FFFFFF"/>
          <w:rtl/>
        </w:rPr>
        <w:t>يَا</w:t>
      </w:r>
      <w:r w:rsidRPr="0030268F">
        <w:rPr>
          <w:rFonts w:ascii="Traditional Arabic" w:hAnsi="Traditional Arabic" w:cs="Traditional Arabic"/>
          <w:sz w:val="32"/>
          <w:szCs w:val="32"/>
          <w:shd w:val="clear" w:color="auto" w:fill="FFFFFF"/>
        </w:rPr>
        <w:t xml:space="preserve"> </w:t>
      </w:r>
      <w:r w:rsidRPr="0030268F">
        <w:rPr>
          <w:rFonts w:ascii="Traditional Arabic" w:hAnsi="Traditional Arabic" w:cs="Traditional Arabic"/>
          <w:sz w:val="32"/>
          <w:szCs w:val="32"/>
          <w:shd w:val="clear" w:color="auto" w:fill="FFFFFF"/>
          <w:rtl/>
        </w:rPr>
        <w:t>مَعْشَرَ</w:t>
      </w:r>
      <w:r w:rsidRPr="0030268F">
        <w:rPr>
          <w:rFonts w:ascii="Traditional Arabic" w:hAnsi="Traditional Arabic" w:cs="Traditional Arabic"/>
          <w:sz w:val="32"/>
          <w:szCs w:val="32"/>
          <w:shd w:val="clear" w:color="auto" w:fill="FFFFFF"/>
        </w:rPr>
        <w:t xml:space="preserve"> </w:t>
      </w:r>
      <w:r w:rsidRPr="0030268F">
        <w:rPr>
          <w:rFonts w:ascii="Traditional Arabic" w:hAnsi="Traditional Arabic" w:cs="Traditional Arabic"/>
          <w:sz w:val="32"/>
          <w:szCs w:val="32"/>
          <w:shd w:val="clear" w:color="auto" w:fill="FFFFFF"/>
          <w:rtl/>
        </w:rPr>
        <w:t>الشَّبَابِ،</w:t>
      </w:r>
      <w:r w:rsidRPr="0030268F">
        <w:rPr>
          <w:rFonts w:ascii="Traditional Arabic" w:hAnsi="Traditional Arabic" w:cs="Traditional Arabic"/>
          <w:sz w:val="32"/>
          <w:szCs w:val="32"/>
          <w:shd w:val="clear" w:color="auto" w:fill="FFFFFF"/>
        </w:rPr>
        <w:t xml:space="preserve"> </w:t>
      </w:r>
      <w:r w:rsidRPr="0030268F">
        <w:rPr>
          <w:rFonts w:ascii="Traditional Arabic" w:hAnsi="Traditional Arabic" w:cs="Traditional Arabic"/>
          <w:sz w:val="32"/>
          <w:szCs w:val="32"/>
          <w:shd w:val="clear" w:color="auto" w:fill="FFFFFF"/>
          <w:rtl/>
        </w:rPr>
        <w:t>مَنِ</w:t>
      </w:r>
      <w:r w:rsidRPr="0030268F">
        <w:rPr>
          <w:rFonts w:ascii="Traditional Arabic" w:hAnsi="Traditional Arabic" w:cs="Traditional Arabic"/>
          <w:sz w:val="32"/>
          <w:szCs w:val="32"/>
          <w:shd w:val="clear" w:color="auto" w:fill="FFFFFF"/>
        </w:rPr>
        <w:t xml:space="preserve"> </w:t>
      </w:r>
      <w:r w:rsidRPr="0030268F">
        <w:rPr>
          <w:rFonts w:ascii="Traditional Arabic" w:hAnsi="Traditional Arabic" w:cs="Traditional Arabic"/>
          <w:sz w:val="32"/>
          <w:szCs w:val="32"/>
          <w:shd w:val="clear" w:color="auto" w:fill="FFFFFF"/>
          <w:rtl/>
        </w:rPr>
        <w:t>اسْتَطَاعَ</w:t>
      </w:r>
      <w:r w:rsidRPr="0030268F">
        <w:rPr>
          <w:rFonts w:ascii="Traditional Arabic" w:hAnsi="Traditional Arabic" w:cs="Traditional Arabic"/>
          <w:sz w:val="32"/>
          <w:szCs w:val="32"/>
          <w:shd w:val="clear" w:color="auto" w:fill="FFFFFF"/>
        </w:rPr>
        <w:t xml:space="preserve"> </w:t>
      </w:r>
      <w:r w:rsidRPr="0030268F">
        <w:rPr>
          <w:rFonts w:ascii="Traditional Arabic" w:hAnsi="Traditional Arabic" w:cs="Traditional Arabic"/>
          <w:sz w:val="32"/>
          <w:szCs w:val="32"/>
          <w:shd w:val="clear" w:color="auto" w:fill="FFFFFF"/>
          <w:rtl/>
        </w:rPr>
        <w:t>مِنْكُمُ</w:t>
      </w:r>
      <w:r w:rsidRPr="0030268F">
        <w:rPr>
          <w:rFonts w:ascii="Traditional Arabic" w:hAnsi="Traditional Arabic" w:cs="Traditional Arabic"/>
          <w:sz w:val="32"/>
          <w:szCs w:val="32"/>
          <w:shd w:val="clear" w:color="auto" w:fill="FFFFFF"/>
        </w:rPr>
        <w:t xml:space="preserve"> </w:t>
      </w:r>
      <w:r w:rsidRPr="0030268F">
        <w:rPr>
          <w:rFonts w:ascii="Traditional Arabic" w:hAnsi="Traditional Arabic" w:cs="Traditional Arabic"/>
          <w:sz w:val="32"/>
          <w:szCs w:val="32"/>
          <w:shd w:val="clear" w:color="auto" w:fill="FFFFFF"/>
          <w:rtl/>
        </w:rPr>
        <w:t>الْبَاءَةَ</w:t>
      </w:r>
      <w:r w:rsidRPr="0030268F">
        <w:rPr>
          <w:rFonts w:ascii="Traditional Arabic" w:hAnsi="Traditional Arabic" w:cs="Traditional Arabic"/>
          <w:sz w:val="32"/>
          <w:szCs w:val="32"/>
          <w:shd w:val="clear" w:color="auto" w:fill="FFFFFF"/>
        </w:rPr>
        <w:t xml:space="preserve"> </w:t>
      </w:r>
      <w:r w:rsidRPr="0030268F">
        <w:rPr>
          <w:rFonts w:ascii="Traditional Arabic" w:hAnsi="Traditional Arabic" w:cs="Traditional Arabic"/>
          <w:sz w:val="32"/>
          <w:szCs w:val="32"/>
          <w:shd w:val="clear" w:color="auto" w:fill="FFFFFF"/>
          <w:rtl/>
        </w:rPr>
        <w:t>فَلْيَتَزَوَّجْ،</w:t>
      </w:r>
      <w:r w:rsidRPr="0030268F">
        <w:rPr>
          <w:rFonts w:ascii="Traditional Arabic" w:hAnsi="Traditional Arabic" w:cs="Traditional Arabic"/>
          <w:sz w:val="32"/>
          <w:szCs w:val="32"/>
          <w:shd w:val="clear" w:color="auto" w:fill="FFFFFF"/>
        </w:rPr>
        <w:t xml:space="preserve"> </w:t>
      </w:r>
      <w:r w:rsidRPr="0030268F">
        <w:rPr>
          <w:rFonts w:ascii="Traditional Arabic" w:hAnsi="Traditional Arabic" w:cs="Traditional Arabic"/>
          <w:sz w:val="32"/>
          <w:szCs w:val="32"/>
          <w:shd w:val="clear" w:color="auto" w:fill="FFFFFF"/>
          <w:rtl/>
        </w:rPr>
        <w:t>فَإِنَّهُ</w:t>
      </w:r>
      <w:r w:rsidRPr="0030268F">
        <w:rPr>
          <w:rFonts w:ascii="Traditional Arabic" w:hAnsi="Traditional Arabic" w:cs="Traditional Arabic"/>
          <w:sz w:val="32"/>
          <w:szCs w:val="32"/>
          <w:shd w:val="clear" w:color="auto" w:fill="FFFFFF"/>
        </w:rPr>
        <w:t xml:space="preserve"> </w:t>
      </w:r>
      <w:r w:rsidRPr="0030268F">
        <w:rPr>
          <w:rFonts w:ascii="Traditional Arabic" w:hAnsi="Traditional Arabic" w:cs="Traditional Arabic"/>
          <w:sz w:val="32"/>
          <w:szCs w:val="32"/>
          <w:shd w:val="clear" w:color="auto" w:fill="FFFFFF"/>
          <w:rtl/>
        </w:rPr>
        <w:t>أَغَضُّ</w:t>
      </w:r>
      <w:r w:rsidRPr="0030268F">
        <w:rPr>
          <w:rFonts w:ascii="Traditional Arabic" w:hAnsi="Traditional Arabic" w:cs="Traditional Arabic"/>
          <w:sz w:val="32"/>
          <w:szCs w:val="32"/>
          <w:shd w:val="clear" w:color="auto" w:fill="FFFFFF"/>
        </w:rPr>
        <w:t xml:space="preserve"> </w:t>
      </w:r>
      <w:r w:rsidRPr="0030268F">
        <w:rPr>
          <w:rFonts w:ascii="Traditional Arabic" w:hAnsi="Traditional Arabic" w:cs="Traditional Arabic"/>
          <w:sz w:val="32"/>
          <w:szCs w:val="32"/>
          <w:shd w:val="clear" w:color="auto" w:fill="FFFFFF"/>
          <w:rtl/>
        </w:rPr>
        <w:t>لِلْبَصَرِ</w:t>
      </w:r>
      <w:r w:rsidRPr="0030268F">
        <w:rPr>
          <w:rFonts w:ascii="Traditional Arabic" w:hAnsi="Traditional Arabic" w:cs="Traditional Arabic"/>
          <w:sz w:val="32"/>
          <w:szCs w:val="32"/>
          <w:shd w:val="clear" w:color="auto" w:fill="FFFFFF"/>
        </w:rPr>
        <w:t xml:space="preserve"> </w:t>
      </w:r>
      <w:r w:rsidRPr="0030268F">
        <w:rPr>
          <w:rFonts w:ascii="Traditional Arabic" w:hAnsi="Traditional Arabic" w:cs="Traditional Arabic"/>
          <w:sz w:val="32"/>
          <w:szCs w:val="32"/>
          <w:shd w:val="clear" w:color="auto" w:fill="FFFFFF"/>
          <w:rtl/>
        </w:rPr>
        <w:t>وَأَحْصَنُ</w:t>
      </w:r>
      <w:r w:rsidRPr="0030268F">
        <w:rPr>
          <w:rFonts w:ascii="Traditional Arabic" w:hAnsi="Traditional Arabic" w:cs="Traditional Arabic"/>
          <w:sz w:val="32"/>
          <w:szCs w:val="32"/>
          <w:shd w:val="clear" w:color="auto" w:fill="FFFFFF"/>
        </w:rPr>
        <w:t xml:space="preserve"> </w:t>
      </w:r>
      <w:r w:rsidRPr="0030268F">
        <w:rPr>
          <w:rFonts w:ascii="Traditional Arabic" w:hAnsi="Traditional Arabic" w:cs="Traditional Arabic"/>
          <w:sz w:val="32"/>
          <w:szCs w:val="32"/>
          <w:shd w:val="clear" w:color="auto" w:fill="FFFFFF"/>
          <w:rtl/>
        </w:rPr>
        <w:t>لِلْفَرْجِ،</w:t>
      </w:r>
      <w:r w:rsidRPr="0030268F">
        <w:rPr>
          <w:rFonts w:ascii="Traditional Arabic" w:hAnsi="Traditional Arabic" w:cs="Traditional Arabic"/>
          <w:sz w:val="32"/>
          <w:szCs w:val="32"/>
          <w:shd w:val="clear" w:color="auto" w:fill="FFFFFF"/>
        </w:rPr>
        <w:t xml:space="preserve"> </w:t>
      </w:r>
      <w:r w:rsidRPr="0030268F">
        <w:rPr>
          <w:rFonts w:ascii="Traditional Arabic" w:hAnsi="Traditional Arabic" w:cs="Traditional Arabic"/>
          <w:sz w:val="32"/>
          <w:szCs w:val="32"/>
          <w:shd w:val="clear" w:color="auto" w:fill="FFFFFF"/>
          <w:rtl/>
        </w:rPr>
        <w:t>وَمَنْ</w:t>
      </w:r>
      <w:r w:rsidRPr="0030268F">
        <w:rPr>
          <w:rFonts w:ascii="Traditional Arabic" w:hAnsi="Traditional Arabic" w:cs="Traditional Arabic"/>
          <w:sz w:val="32"/>
          <w:szCs w:val="32"/>
          <w:shd w:val="clear" w:color="auto" w:fill="FFFFFF"/>
        </w:rPr>
        <w:t xml:space="preserve"> </w:t>
      </w:r>
      <w:r w:rsidRPr="0030268F">
        <w:rPr>
          <w:rFonts w:ascii="Traditional Arabic" w:hAnsi="Traditional Arabic" w:cs="Traditional Arabic"/>
          <w:sz w:val="32"/>
          <w:szCs w:val="32"/>
          <w:shd w:val="clear" w:color="auto" w:fill="FFFFFF"/>
          <w:rtl/>
        </w:rPr>
        <w:t>لَمْ</w:t>
      </w:r>
      <w:r w:rsidRPr="0030268F">
        <w:rPr>
          <w:rFonts w:ascii="Traditional Arabic" w:hAnsi="Traditional Arabic" w:cs="Traditional Arabic"/>
          <w:sz w:val="32"/>
          <w:szCs w:val="32"/>
          <w:shd w:val="clear" w:color="auto" w:fill="FFFFFF"/>
        </w:rPr>
        <w:t xml:space="preserve"> </w:t>
      </w:r>
      <w:r w:rsidRPr="0030268F">
        <w:rPr>
          <w:rFonts w:ascii="Traditional Arabic" w:hAnsi="Traditional Arabic" w:cs="Traditional Arabic"/>
          <w:sz w:val="32"/>
          <w:szCs w:val="32"/>
          <w:shd w:val="clear" w:color="auto" w:fill="FFFFFF"/>
          <w:rtl/>
        </w:rPr>
        <w:t>يَسْتَطِعْ</w:t>
      </w:r>
      <w:r w:rsidRPr="0030268F">
        <w:rPr>
          <w:rFonts w:ascii="Traditional Arabic" w:hAnsi="Traditional Arabic" w:cs="Traditional Arabic"/>
          <w:sz w:val="32"/>
          <w:szCs w:val="32"/>
          <w:shd w:val="clear" w:color="auto" w:fill="FFFFFF"/>
        </w:rPr>
        <w:t xml:space="preserve"> </w:t>
      </w:r>
      <w:r w:rsidRPr="0030268F">
        <w:rPr>
          <w:rFonts w:ascii="Traditional Arabic" w:hAnsi="Traditional Arabic" w:cs="Traditional Arabic"/>
          <w:sz w:val="32"/>
          <w:szCs w:val="32"/>
          <w:shd w:val="clear" w:color="auto" w:fill="FFFFFF"/>
          <w:rtl/>
        </w:rPr>
        <w:t>فَعَلَيْهِ</w:t>
      </w:r>
      <w:r w:rsidRPr="0030268F">
        <w:rPr>
          <w:rFonts w:ascii="Traditional Arabic" w:hAnsi="Traditional Arabic" w:cs="Traditional Arabic"/>
          <w:sz w:val="32"/>
          <w:szCs w:val="32"/>
          <w:shd w:val="clear" w:color="auto" w:fill="FFFFFF"/>
        </w:rPr>
        <w:t xml:space="preserve"> </w:t>
      </w:r>
      <w:r w:rsidRPr="0030268F">
        <w:rPr>
          <w:rFonts w:ascii="Traditional Arabic" w:hAnsi="Traditional Arabic" w:cs="Traditional Arabic"/>
          <w:sz w:val="32"/>
          <w:szCs w:val="32"/>
          <w:shd w:val="clear" w:color="auto" w:fill="FFFFFF"/>
          <w:rtl/>
        </w:rPr>
        <w:t>بِالصَّوْمِ،</w:t>
      </w:r>
      <w:r w:rsidRPr="0030268F">
        <w:rPr>
          <w:rFonts w:ascii="Traditional Arabic" w:hAnsi="Traditional Arabic" w:cs="Traditional Arabic"/>
          <w:sz w:val="32"/>
          <w:szCs w:val="32"/>
          <w:shd w:val="clear" w:color="auto" w:fill="FFFFFF"/>
        </w:rPr>
        <w:t xml:space="preserve"> </w:t>
      </w:r>
      <w:r w:rsidRPr="0030268F">
        <w:rPr>
          <w:rFonts w:ascii="Traditional Arabic" w:hAnsi="Traditional Arabic" w:cs="Traditional Arabic"/>
          <w:sz w:val="32"/>
          <w:szCs w:val="32"/>
          <w:shd w:val="clear" w:color="auto" w:fill="FFFFFF"/>
          <w:rtl/>
        </w:rPr>
        <w:t>فَإِنَّهُ</w:t>
      </w:r>
      <w:r w:rsidRPr="0030268F">
        <w:rPr>
          <w:rFonts w:ascii="Traditional Arabic" w:hAnsi="Traditional Arabic" w:cs="Traditional Arabic"/>
          <w:sz w:val="32"/>
          <w:szCs w:val="32"/>
          <w:shd w:val="clear" w:color="auto" w:fill="FFFFFF"/>
        </w:rPr>
        <w:t xml:space="preserve"> </w:t>
      </w:r>
      <w:r w:rsidRPr="0030268F">
        <w:rPr>
          <w:rFonts w:ascii="Traditional Arabic" w:hAnsi="Traditional Arabic" w:cs="Traditional Arabic"/>
          <w:sz w:val="32"/>
          <w:szCs w:val="32"/>
          <w:shd w:val="clear" w:color="auto" w:fill="FFFFFF"/>
          <w:rtl/>
        </w:rPr>
        <w:t>لَهُ</w:t>
      </w:r>
      <w:r w:rsidRPr="0030268F">
        <w:rPr>
          <w:rFonts w:ascii="Traditional Arabic" w:hAnsi="Traditional Arabic" w:cs="Traditional Arabic"/>
          <w:sz w:val="32"/>
          <w:szCs w:val="32"/>
          <w:shd w:val="clear" w:color="auto" w:fill="FFFFFF"/>
        </w:rPr>
        <w:t xml:space="preserve"> </w:t>
      </w:r>
      <w:r w:rsidRPr="0030268F">
        <w:rPr>
          <w:rFonts w:ascii="Traditional Arabic" w:hAnsi="Traditional Arabic" w:cs="Traditional Arabic"/>
          <w:sz w:val="32"/>
          <w:szCs w:val="32"/>
          <w:shd w:val="clear" w:color="auto" w:fill="FFFFFF"/>
          <w:rtl/>
        </w:rPr>
        <w:t>وِجَاءٌ</w:t>
      </w:r>
    </w:p>
    <w:p w:rsidR="00364180" w:rsidRPr="0030268F" w:rsidRDefault="00364180" w:rsidP="00364180">
      <w:pPr>
        <w:spacing w:after="0" w:line="240" w:lineRule="auto"/>
        <w:ind w:left="84"/>
        <w:jc w:val="both"/>
        <w:rPr>
          <w:rFonts w:asciiTheme="majorBidi" w:hAnsiTheme="majorBidi" w:cstheme="majorBidi"/>
          <w:sz w:val="24"/>
          <w:szCs w:val="24"/>
        </w:rPr>
      </w:pPr>
      <w:r w:rsidRPr="002272BF">
        <w:rPr>
          <w:rFonts w:asciiTheme="majorBidi" w:hAnsiTheme="majorBidi" w:cstheme="majorBidi"/>
          <w:sz w:val="24"/>
          <w:szCs w:val="24"/>
          <w:shd w:val="clear" w:color="auto" w:fill="FFFFFF"/>
        </w:rPr>
        <w:t>“'Wahai para pemuda, barangsiapa di antara kalian yang mampu menikah, maka menikahlah. Karena menikah lebih dapat menahan pandangan dan lebih memelihara kemaluan. Dan barangsiapa yang tidak mampu, maka hendaklah ia berpuasa; karena puasa dapat menekan syahwatnya (sebagai tameng).</w:t>
      </w:r>
    </w:p>
    <w:p w:rsidR="00364180" w:rsidRPr="002272BF" w:rsidRDefault="00364180" w:rsidP="00364180">
      <w:pPr>
        <w:spacing w:after="0" w:line="360" w:lineRule="auto"/>
        <w:ind w:left="567"/>
        <w:jc w:val="both"/>
        <w:rPr>
          <w:rFonts w:asciiTheme="majorBidi" w:hAnsiTheme="majorBidi" w:cstheme="majorBidi"/>
          <w:sz w:val="24"/>
          <w:szCs w:val="24"/>
        </w:rPr>
      </w:pPr>
    </w:p>
    <w:p w:rsidR="00364180" w:rsidRPr="0030268F" w:rsidRDefault="00364180" w:rsidP="00364180">
      <w:pPr>
        <w:bidi/>
        <w:spacing w:after="0" w:line="240" w:lineRule="auto"/>
        <w:ind w:left="-58"/>
        <w:jc w:val="both"/>
        <w:rPr>
          <w:rFonts w:ascii="Traditional Arabic" w:hAnsi="Traditional Arabic" w:cs="Traditional Arabic"/>
          <w:sz w:val="24"/>
          <w:szCs w:val="24"/>
          <w:rtl/>
        </w:rPr>
      </w:pPr>
      <w:r w:rsidRPr="0030268F">
        <w:rPr>
          <w:rFonts w:ascii="Traditional Arabic" w:eastAsia="Times New Roman" w:hAnsi="Traditional Arabic" w:cs="Traditional Arabic"/>
          <w:sz w:val="32"/>
          <w:szCs w:val="32"/>
          <w:rtl/>
        </w:rPr>
        <w:t>عن ابن عباس رضي الله عنه قال</w:t>
      </w:r>
      <w:r w:rsidRPr="0030268F">
        <w:rPr>
          <w:rFonts w:ascii="Traditional Arabic" w:eastAsia="Times New Roman" w:hAnsi="Traditional Arabic" w:cs="Traditional Arabic"/>
          <w:sz w:val="32"/>
          <w:szCs w:val="32"/>
        </w:rPr>
        <w:t xml:space="preserve">: </w:t>
      </w:r>
      <w:r w:rsidRPr="0030268F">
        <w:rPr>
          <w:rFonts w:ascii="Traditional Arabic" w:eastAsia="Times New Roman" w:hAnsi="Traditional Arabic" w:cs="Traditional Arabic"/>
          <w:sz w:val="32"/>
          <w:szCs w:val="32"/>
          <w:rtl/>
        </w:rPr>
        <w:t>قال رسول الله صلى الله عليه وسلم</w:t>
      </w:r>
      <w:r w:rsidRPr="0030268F">
        <w:rPr>
          <w:rFonts w:ascii="Traditional Arabic" w:eastAsia="Times New Roman" w:hAnsi="Traditional Arabic" w:cs="Traditional Arabic"/>
          <w:sz w:val="32"/>
          <w:szCs w:val="32"/>
        </w:rPr>
        <w:t xml:space="preserve">: </w:t>
      </w:r>
      <w:r w:rsidRPr="0030268F">
        <w:rPr>
          <w:rFonts w:ascii="Traditional Arabic" w:eastAsia="Times New Roman" w:hAnsi="Traditional Arabic" w:cs="Traditional Arabic"/>
          <w:sz w:val="32"/>
          <w:szCs w:val="32"/>
          <w:rtl/>
        </w:rPr>
        <w:t>إياكم والزنا فإن فيه أربع خصال يذهب البهاء عن الوجه ويقطع الرزق ويسخط الرحمن ويوجب الخلود في النار</w:t>
      </w:r>
    </w:p>
    <w:p w:rsidR="00364180" w:rsidRPr="002272BF" w:rsidRDefault="00364180" w:rsidP="00364180">
      <w:pPr>
        <w:spacing w:after="0" w:line="240" w:lineRule="auto"/>
        <w:jc w:val="both"/>
        <w:rPr>
          <w:rFonts w:asciiTheme="majorBidi" w:eastAsia="Times New Roman" w:hAnsiTheme="majorBidi" w:cstheme="majorBidi"/>
          <w:sz w:val="24"/>
          <w:szCs w:val="24"/>
        </w:rPr>
      </w:pPr>
      <w:r>
        <w:rPr>
          <w:rFonts w:asciiTheme="majorBidi" w:eastAsia="Times New Roman" w:hAnsiTheme="majorBidi" w:cstheme="majorBidi"/>
          <w:sz w:val="24"/>
          <w:szCs w:val="24"/>
        </w:rPr>
        <w:t>“</w:t>
      </w:r>
      <w:r w:rsidRPr="002272BF">
        <w:rPr>
          <w:rFonts w:asciiTheme="majorBidi" w:eastAsia="Times New Roman" w:hAnsiTheme="majorBidi" w:cstheme="majorBidi"/>
          <w:sz w:val="24"/>
          <w:szCs w:val="24"/>
        </w:rPr>
        <w:t>Dari Ibn</w:t>
      </w:r>
      <w:r>
        <w:rPr>
          <w:rFonts w:asciiTheme="majorBidi" w:eastAsia="Times New Roman" w:hAnsiTheme="majorBidi" w:cstheme="majorBidi"/>
          <w:sz w:val="24"/>
          <w:szCs w:val="24"/>
        </w:rPr>
        <w:t>u</w:t>
      </w:r>
      <w:r w:rsidRPr="002272BF">
        <w:rPr>
          <w:rFonts w:asciiTheme="majorBidi" w:eastAsia="Times New Roman" w:hAnsiTheme="majorBidi" w:cstheme="majorBidi"/>
          <w:sz w:val="24"/>
          <w:szCs w:val="24"/>
        </w:rPr>
        <w:t xml:space="preserve"> Abbas ra berkata Rasulullah saw bersabda: Jauhilah perbuatan zina, karena di</w:t>
      </w:r>
      <w:r>
        <w:rPr>
          <w:rFonts w:asciiTheme="majorBidi" w:eastAsia="Times New Roman" w:hAnsiTheme="majorBidi" w:cstheme="majorBidi"/>
          <w:sz w:val="24"/>
          <w:szCs w:val="24"/>
        </w:rPr>
        <w:t xml:space="preserve"> </w:t>
      </w:r>
      <w:r w:rsidRPr="002272BF">
        <w:rPr>
          <w:rFonts w:asciiTheme="majorBidi" w:eastAsia="Times New Roman" w:hAnsiTheme="majorBidi" w:cstheme="majorBidi"/>
          <w:sz w:val="24"/>
          <w:szCs w:val="24"/>
        </w:rPr>
        <w:t xml:space="preserve">dalamnya ada empat hal; menghilangkan cahaya wajah, memutuskan rizki, membuat murka Tuhan Yang Maha </w:t>
      </w:r>
      <w:r>
        <w:rPr>
          <w:rFonts w:asciiTheme="majorBidi" w:eastAsia="Times New Roman" w:hAnsiTheme="majorBidi" w:cstheme="majorBidi"/>
          <w:sz w:val="24"/>
          <w:szCs w:val="24"/>
        </w:rPr>
        <w:t>Pengasih, dan me</w:t>
      </w:r>
      <w:r w:rsidRPr="002272BF">
        <w:rPr>
          <w:rFonts w:asciiTheme="majorBidi" w:eastAsia="Times New Roman" w:hAnsiTheme="majorBidi" w:cstheme="majorBidi"/>
          <w:sz w:val="24"/>
          <w:szCs w:val="24"/>
        </w:rPr>
        <w:t>nyebakan pelakunya kekal di dalam neraka</w:t>
      </w:r>
      <w:r>
        <w:rPr>
          <w:rFonts w:asciiTheme="majorBidi" w:eastAsia="Times New Roman" w:hAnsiTheme="majorBidi" w:cstheme="majorBidi"/>
          <w:sz w:val="24"/>
          <w:szCs w:val="24"/>
        </w:rPr>
        <w:t>.” (HR. Tabrani).</w:t>
      </w:r>
    </w:p>
    <w:p w:rsidR="00364180" w:rsidRDefault="00364180" w:rsidP="00364180">
      <w:pPr>
        <w:bidi/>
        <w:spacing w:after="0" w:line="240" w:lineRule="auto"/>
        <w:ind w:firstLine="567"/>
        <w:rPr>
          <w:rFonts w:ascii="Traditional Arabic" w:eastAsia="Times New Roman" w:hAnsi="Traditional Arabic" w:cs="Traditional Arabic"/>
          <w:sz w:val="32"/>
          <w:szCs w:val="32"/>
        </w:rPr>
      </w:pPr>
      <w:r w:rsidRPr="002272BF">
        <w:rPr>
          <w:rFonts w:ascii="Simplified Arabic" w:eastAsia="Times New Roman" w:hAnsi="Simplified Arabic" w:cs="Simplified Arabic"/>
          <w:sz w:val="24"/>
          <w:szCs w:val="24"/>
        </w:rPr>
        <w:br/>
      </w:r>
      <w:r w:rsidRPr="0030268F">
        <w:rPr>
          <w:rFonts w:ascii="Traditional Arabic" w:eastAsia="Times New Roman" w:hAnsi="Traditional Arabic" w:cs="Traditional Arabic"/>
          <w:sz w:val="32"/>
          <w:szCs w:val="32"/>
          <w:rtl/>
        </w:rPr>
        <w:t>كُلُّ مَوْ لُدٍ يُوْلَدُ عَلَى اْلفِطرَةِ فَـأَ بَوَاهُ يُهَوِّدَا نِهِ أَوْ يُنَصِّرَانِهِ أَوْ يُمَجِّسَانِهِ</w:t>
      </w:r>
    </w:p>
    <w:p w:rsidR="00364180" w:rsidRDefault="00364180" w:rsidP="00364180">
      <w:pPr>
        <w:spacing w:after="0" w:line="240" w:lineRule="auto"/>
        <w:jc w:val="both"/>
        <w:rPr>
          <w:rFonts w:asciiTheme="majorBidi" w:hAnsiTheme="majorBidi" w:cstheme="majorBidi"/>
          <w:sz w:val="24"/>
          <w:szCs w:val="24"/>
        </w:rPr>
      </w:pPr>
      <w:r>
        <w:rPr>
          <w:rFonts w:asciiTheme="majorBidi" w:hAnsiTheme="majorBidi" w:cstheme="majorBidi"/>
          <w:sz w:val="24"/>
          <w:szCs w:val="24"/>
        </w:rPr>
        <w:t>“Setiap anak yang dilahirkan adalah suci, orang tuanyalah yang menjadikan ia Yahudi, Nasrani atau Majusi.” (HR. Abu Ya’la, Baihaki dan Tabrani).</w:t>
      </w:r>
    </w:p>
    <w:p w:rsidR="00364180" w:rsidRPr="0030268F" w:rsidRDefault="00364180" w:rsidP="00364180">
      <w:pPr>
        <w:bidi/>
        <w:spacing w:after="0" w:line="240" w:lineRule="auto"/>
        <w:ind w:firstLine="567"/>
        <w:jc w:val="right"/>
        <w:rPr>
          <w:rFonts w:asciiTheme="majorBidi" w:hAnsiTheme="majorBidi" w:cstheme="majorBidi"/>
          <w:sz w:val="24"/>
          <w:szCs w:val="24"/>
        </w:rPr>
      </w:pPr>
    </w:p>
    <w:p w:rsidR="00364180" w:rsidRPr="002272BF" w:rsidRDefault="00364180" w:rsidP="00364180">
      <w:pPr>
        <w:spacing w:after="0" w:line="360" w:lineRule="auto"/>
        <w:ind w:firstLine="567"/>
        <w:jc w:val="both"/>
        <w:rPr>
          <w:rFonts w:asciiTheme="majorBidi" w:hAnsiTheme="majorBidi" w:cstheme="majorBidi"/>
          <w:sz w:val="24"/>
          <w:szCs w:val="24"/>
        </w:rPr>
      </w:pPr>
      <w:r w:rsidRPr="002272BF">
        <w:rPr>
          <w:rFonts w:asciiTheme="majorBidi" w:hAnsiTheme="majorBidi" w:cstheme="majorBidi"/>
          <w:sz w:val="24"/>
          <w:szCs w:val="24"/>
        </w:rPr>
        <w:t>Dalam Islam seks berkedudukan sebagai pembeda antara jenis laki-laki dan perempuan, yang selanjutnya berkaitan pula dengan hak dan kewajiban masing-masing. Seks juga sebagai sarana pengembangbiakan manusia dari generasi ke generasi. Selain sebagai pembeda jenis kelamin dan sarana pengembangbiakan umat manusia, seks juga sebagai pembinaan peradaban.</w:t>
      </w:r>
      <w:r w:rsidRPr="002272BF">
        <w:rPr>
          <w:rStyle w:val="FootnoteReference"/>
          <w:rFonts w:asciiTheme="majorBidi" w:hAnsiTheme="majorBidi" w:cstheme="majorBidi"/>
          <w:sz w:val="24"/>
          <w:szCs w:val="24"/>
        </w:rPr>
        <w:footnoteReference w:id="10"/>
      </w:r>
      <w:r w:rsidRPr="002272BF">
        <w:rPr>
          <w:rFonts w:asciiTheme="majorBidi" w:hAnsiTheme="majorBidi" w:cstheme="majorBidi"/>
          <w:sz w:val="24"/>
          <w:szCs w:val="24"/>
        </w:rPr>
        <w:t xml:space="preserve"> </w:t>
      </w:r>
    </w:p>
    <w:p w:rsidR="00364180" w:rsidRPr="002272BF" w:rsidRDefault="00364180" w:rsidP="00364180">
      <w:pPr>
        <w:spacing w:after="0" w:line="360" w:lineRule="auto"/>
        <w:ind w:firstLine="567"/>
        <w:jc w:val="both"/>
        <w:rPr>
          <w:rFonts w:asciiTheme="majorBidi" w:hAnsiTheme="majorBidi" w:cstheme="majorBidi"/>
          <w:sz w:val="24"/>
          <w:szCs w:val="24"/>
        </w:rPr>
      </w:pPr>
      <w:r w:rsidRPr="002272BF">
        <w:rPr>
          <w:rFonts w:asciiTheme="majorBidi" w:hAnsiTheme="majorBidi" w:cstheme="majorBidi"/>
          <w:sz w:val="24"/>
          <w:szCs w:val="24"/>
        </w:rPr>
        <w:t>Seksualitas dalam Islam selalu berhubungan dengan kehidupan berkeluarga.</w:t>
      </w:r>
      <w:r w:rsidRPr="002272BF">
        <w:rPr>
          <w:rStyle w:val="FootnoteReference"/>
          <w:rFonts w:asciiTheme="majorBidi" w:hAnsiTheme="majorBidi" w:cstheme="majorBidi"/>
          <w:sz w:val="24"/>
          <w:szCs w:val="24"/>
        </w:rPr>
        <w:footnoteReference w:id="11"/>
      </w:r>
      <w:r w:rsidRPr="002272BF">
        <w:rPr>
          <w:rFonts w:asciiTheme="majorBidi" w:hAnsiTheme="majorBidi" w:cstheme="majorBidi"/>
          <w:sz w:val="24"/>
          <w:szCs w:val="24"/>
        </w:rPr>
        <w:t xml:space="preserve"> Keluarga merupakan insitusi penting dalam mengejawantahkan nilai-nilai Islam tentang pendidikan seks. Keluarga merupakan salah satu tujuan dalam kehidupan seks manusia (umat Islam). </w:t>
      </w:r>
      <w:r w:rsidRPr="002272BF">
        <w:rPr>
          <w:rFonts w:asciiTheme="majorBidi" w:hAnsiTheme="majorBidi" w:cstheme="majorBidi"/>
          <w:sz w:val="24"/>
          <w:szCs w:val="24"/>
        </w:rPr>
        <w:lastRenderedPageBreak/>
        <w:t>Keluarga dibentuk dan dibangun melalui sarana seks yang dibingkai dengan norma agama dan sosial.</w:t>
      </w:r>
    </w:p>
    <w:p w:rsidR="00364180" w:rsidRDefault="00364180" w:rsidP="00364180">
      <w:pPr>
        <w:spacing w:after="0" w:line="360" w:lineRule="auto"/>
        <w:jc w:val="both"/>
        <w:rPr>
          <w:rFonts w:asciiTheme="majorBidi" w:hAnsiTheme="majorBidi" w:cstheme="majorBidi"/>
          <w:sz w:val="24"/>
          <w:szCs w:val="24"/>
        </w:rPr>
      </w:pPr>
    </w:p>
    <w:p w:rsidR="00364180" w:rsidRPr="0030268F" w:rsidRDefault="00364180" w:rsidP="00364180">
      <w:pPr>
        <w:spacing w:after="0" w:line="360" w:lineRule="auto"/>
        <w:jc w:val="both"/>
        <w:rPr>
          <w:rFonts w:asciiTheme="majorBidi" w:hAnsiTheme="majorBidi" w:cstheme="majorBidi"/>
          <w:sz w:val="24"/>
          <w:szCs w:val="24"/>
        </w:rPr>
      </w:pPr>
    </w:p>
    <w:p w:rsidR="00364180" w:rsidRPr="002272BF" w:rsidRDefault="00364180" w:rsidP="00364180">
      <w:pPr>
        <w:spacing w:after="0" w:line="360" w:lineRule="auto"/>
        <w:jc w:val="both"/>
        <w:rPr>
          <w:rFonts w:asciiTheme="majorBidi" w:hAnsiTheme="majorBidi" w:cstheme="majorBidi"/>
          <w:b/>
          <w:bCs/>
          <w:sz w:val="24"/>
          <w:szCs w:val="24"/>
        </w:rPr>
      </w:pPr>
      <w:r w:rsidRPr="002272BF">
        <w:rPr>
          <w:rFonts w:asciiTheme="majorBidi" w:hAnsiTheme="majorBidi" w:cstheme="majorBidi"/>
          <w:b/>
          <w:bCs/>
          <w:sz w:val="24"/>
          <w:szCs w:val="24"/>
        </w:rPr>
        <w:t>Pendidikan Seks bagi Remaja</w:t>
      </w:r>
    </w:p>
    <w:p w:rsidR="00364180" w:rsidRPr="002272BF" w:rsidRDefault="00364180" w:rsidP="00364180">
      <w:pPr>
        <w:pStyle w:val="ListParagraph"/>
        <w:spacing w:line="360" w:lineRule="auto"/>
        <w:ind w:left="0" w:firstLine="567"/>
        <w:jc w:val="both"/>
        <w:rPr>
          <w:rFonts w:asciiTheme="majorBidi" w:hAnsiTheme="majorBidi" w:cstheme="majorBidi"/>
        </w:rPr>
      </w:pPr>
      <w:r w:rsidRPr="002272BF">
        <w:rPr>
          <w:rFonts w:asciiTheme="majorBidi" w:hAnsiTheme="majorBidi" w:cstheme="majorBidi"/>
        </w:rPr>
        <w:t>Masa remaja adalah masa peralihan (transisi) dari masa anak-anak ke masa dewasa. Secara fisik mungkin sudah menyerupai dewasa, namun secara psikis belumlah dewasa. Masa remaja berkisar antara usia 12 hingga 20 tahun.</w:t>
      </w:r>
      <w:r w:rsidRPr="002272BF">
        <w:rPr>
          <w:rStyle w:val="FootnoteReference"/>
          <w:rFonts w:asciiTheme="majorBidi" w:hAnsiTheme="majorBidi" w:cstheme="majorBidi"/>
        </w:rPr>
        <w:footnoteReference w:id="12"/>
      </w:r>
      <w:r w:rsidRPr="002272BF">
        <w:rPr>
          <w:rFonts w:asciiTheme="majorBidi" w:hAnsiTheme="majorBidi" w:cstheme="majorBidi"/>
        </w:rPr>
        <w:t xml:space="preserve"> Masa rem</w:t>
      </w:r>
      <w:r>
        <w:rPr>
          <w:rFonts w:asciiTheme="majorBidi" w:hAnsiTheme="majorBidi" w:cstheme="majorBidi"/>
        </w:rPr>
        <w:t>aja merupakan masa yang sangat rentan</w:t>
      </w:r>
      <w:r w:rsidRPr="002272BF">
        <w:rPr>
          <w:rFonts w:asciiTheme="majorBidi" w:hAnsiTheme="majorBidi" w:cstheme="majorBidi"/>
        </w:rPr>
        <w:t xml:space="preserve"> selama perkembangan manusia, saat menentukan bagi masa-masa selanjutnya.</w:t>
      </w:r>
      <w:r w:rsidRPr="002272BF">
        <w:rPr>
          <w:rStyle w:val="FootnoteReference"/>
          <w:rFonts w:asciiTheme="majorBidi" w:hAnsiTheme="majorBidi" w:cstheme="majorBidi"/>
        </w:rPr>
        <w:footnoteReference w:id="13"/>
      </w:r>
      <w:r w:rsidRPr="002272BF">
        <w:rPr>
          <w:rFonts w:asciiTheme="majorBidi" w:hAnsiTheme="majorBidi" w:cstheme="majorBidi"/>
        </w:rPr>
        <w:t xml:space="preserve"> Masa remaja </w:t>
      </w:r>
      <w:r>
        <w:rPr>
          <w:rFonts w:asciiTheme="majorBidi" w:hAnsiTheme="majorBidi" w:cstheme="majorBidi"/>
        </w:rPr>
        <w:t xml:space="preserve">juga </w:t>
      </w:r>
      <w:r w:rsidRPr="002272BF">
        <w:rPr>
          <w:rFonts w:asciiTheme="majorBidi" w:hAnsiTheme="majorBidi" w:cstheme="majorBidi"/>
        </w:rPr>
        <w:t xml:space="preserve">merupakan salah satu masa yang sangat penting dalam perjalanan hidup manusia. Jika masa ini dimanfaatkan dengan maksimal maka pengaruhnya sangat signifikan dalam kehidupan remaja selanjutnya, begitu pun sebaliknya. </w:t>
      </w:r>
    </w:p>
    <w:p w:rsidR="00364180" w:rsidRPr="002272BF" w:rsidRDefault="00364180" w:rsidP="00364180">
      <w:pPr>
        <w:pStyle w:val="ListParagraph"/>
        <w:spacing w:line="360" w:lineRule="auto"/>
        <w:ind w:left="0" w:firstLine="567"/>
        <w:jc w:val="both"/>
        <w:rPr>
          <w:rFonts w:asciiTheme="majorBidi" w:hAnsiTheme="majorBidi" w:cstheme="majorBidi"/>
        </w:rPr>
      </w:pPr>
      <w:r w:rsidRPr="002272BF">
        <w:rPr>
          <w:rFonts w:asciiTheme="majorBidi" w:hAnsiTheme="majorBidi" w:cstheme="majorBidi"/>
        </w:rPr>
        <w:t>Secara intelektual, remaja mulai mampu berpikir abstrak dan sebagian bahkan sudah mulai kritis. Secara emosional, remaja cenderung kurang stabil bahkan temperanemtal. Dalam pergaulan sosial, remaja lebih suka bergabung dengan teman-teman seusianya.</w:t>
      </w:r>
      <w:r w:rsidRPr="002272BF">
        <w:rPr>
          <w:rStyle w:val="FootnoteReference"/>
          <w:rFonts w:asciiTheme="majorBidi" w:hAnsiTheme="majorBidi" w:cstheme="majorBidi"/>
        </w:rPr>
        <w:footnoteReference w:id="14"/>
      </w:r>
      <w:r w:rsidRPr="002272BF">
        <w:rPr>
          <w:rFonts w:asciiTheme="majorBidi" w:hAnsiTheme="majorBidi" w:cstheme="majorBidi"/>
        </w:rPr>
        <w:t xml:space="preserve"> Ketiga aspek tersebut penting diperhatikan dalam kehidupan remaja oleh pendidik (orang tua, guru dan masyarakat). Jika aspek tersebut diabaikan salah satunya tentu akan menimbulkan kepincangan dalam mendidik remaja. Kehidupan remaja mencakup sisi intelektual, emosional dan sosial.</w:t>
      </w:r>
    </w:p>
    <w:p w:rsidR="00364180" w:rsidRPr="002272BF" w:rsidRDefault="00364180" w:rsidP="00364180">
      <w:pPr>
        <w:pStyle w:val="ListParagraph"/>
        <w:spacing w:line="360" w:lineRule="auto"/>
        <w:ind w:left="0" w:firstLine="567"/>
        <w:jc w:val="both"/>
        <w:rPr>
          <w:rFonts w:asciiTheme="majorBidi" w:hAnsiTheme="majorBidi" w:cstheme="majorBidi"/>
        </w:rPr>
      </w:pPr>
      <w:r w:rsidRPr="002272BF">
        <w:rPr>
          <w:rFonts w:asciiTheme="majorBidi" w:hAnsiTheme="majorBidi" w:cstheme="majorBidi"/>
        </w:rPr>
        <w:t>Masa remaja juga berhubungan dengan usia balig yakni usia di mana manusia (muslim) mulai dibebani dengan berbagai kewajiban dan konsekuensi dalam beragama. Pada perempuan bisanya berkisar pada usia antara 8-18 tahun, sedangkan pada laki-laki berkisar antara usia 12-20 tahun. Namun rata-rata usia permulaan balig laki-laki maupun perempuan berlangsung antara usia 12-15 tahun.</w:t>
      </w:r>
      <w:r w:rsidRPr="002272BF">
        <w:rPr>
          <w:rStyle w:val="FootnoteReference"/>
          <w:rFonts w:asciiTheme="majorBidi" w:hAnsiTheme="majorBidi" w:cstheme="majorBidi"/>
        </w:rPr>
        <w:footnoteReference w:id="15"/>
      </w:r>
      <w:r w:rsidRPr="002272BF">
        <w:rPr>
          <w:rFonts w:asciiTheme="majorBidi" w:hAnsiTheme="majorBidi" w:cstheme="majorBidi"/>
        </w:rPr>
        <w:t xml:space="preserve"> Ada berbagai faktor yang mempengaruhi anak menjadi balig antara lain</w:t>
      </w:r>
    </w:p>
    <w:p w:rsidR="00364180" w:rsidRPr="002272BF" w:rsidRDefault="00364180" w:rsidP="00364180">
      <w:pPr>
        <w:pStyle w:val="ListParagraph"/>
        <w:widowControl/>
        <w:numPr>
          <w:ilvl w:val="0"/>
          <w:numId w:val="9"/>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Iklim.</w:t>
      </w:r>
    </w:p>
    <w:p w:rsidR="00364180" w:rsidRPr="002272BF" w:rsidRDefault="00364180" w:rsidP="00364180">
      <w:pPr>
        <w:pStyle w:val="ListParagraph"/>
        <w:widowControl/>
        <w:numPr>
          <w:ilvl w:val="0"/>
          <w:numId w:val="9"/>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Keturunan.</w:t>
      </w:r>
    </w:p>
    <w:p w:rsidR="00364180" w:rsidRPr="002272BF" w:rsidRDefault="00364180" w:rsidP="00364180">
      <w:pPr>
        <w:pStyle w:val="ListParagraph"/>
        <w:widowControl/>
        <w:numPr>
          <w:ilvl w:val="0"/>
          <w:numId w:val="9"/>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Makanan.</w:t>
      </w:r>
    </w:p>
    <w:p w:rsidR="00364180" w:rsidRPr="002272BF" w:rsidRDefault="00364180" w:rsidP="00364180">
      <w:pPr>
        <w:pStyle w:val="ListParagraph"/>
        <w:widowControl/>
        <w:numPr>
          <w:ilvl w:val="0"/>
          <w:numId w:val="9"/>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lastRenderedPageBreak/>
        <w:t>Kesehatan.</w:t>
      </w:r>
    </w:p>
    <w:p w:rsidR="00364180" w:rsidRPr="002272BF" w:rsidRDefault="00364180" w:rsidP="00364180">
      <w:pPr>
        <w:pStyle w:val="ListParagraph"/>
        <w:widowControl/>
        <w:numPr>
          <w:ilvl w:val="0"/>
          <w:numId w:val="9"/>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Keaktifan kelenjar dalam tubuh.</w:t>
      </w:r>
      <w:r w:rsidRPr="002272BF">
        <w:rPr>
          <w:rStyle w:val="FootnoteReference"/>
          <w:rFonts w:asciiTheme="majorBidi" w:hAnsiTheme="majorBidi" w:cstheme="majorBidi"/>
        </w:rPr>
        <w:footnoteReference w:id="16"/>
      </w:r>
    </w:p>
    <w:p w:rsidR="00364180" w:rsidRPr="002272BF" w:rsidRDefault="00364180" w:rsidP="00364180">
      <w:pPr>
        <w:pStyle w:val="ListParagraph"/>
        <w:spacing w:line="360" w:lineRule="auto"/>
        <w:ind w:left="0" w:firstLine="567"/>
        <w:jc w:val="both"/>
        <w:rPr>
          <w:rFonts w:asciiTheme="majorBidi" w:hAnsiTheme="majorBidi" w:cstheme="majorBidi"/>
        </w:rPr>
      </w:pPr>
      <w:r w:rsidRPr="002272BF">
        <w:rPr>
          <w:rFonts w:asciiTheme="majorBidi" w:hAnsiTheme="majorBidi" w:cstheme="majorBidi"/>
        </w:rPr>
        <w:t xml:space="preserve">Indikator balig pada remaja umumnya ditandai dengan </w:t>
      </w:r>
      <w:r>
        <w:rPr>
          <w:rFonts w:asciiTheme="majorBidi" w:hAnsiTheme="majorBidi" w:cstheme="majorBidi"/>
        </w:rPr>
        <w:t xml:space="preserve">aktivtas dan </w:t>
      </w:r>
      <w:r w:rsidRPr="002272BF">
        <w:rPr>
          <w:rFonts w:asciiTheme="majorBidi" w:hAnsiTheme="majorBidi" w:cstheme="majorBidi"/>
        </w:rPr>
        <w:t>perubahan berikut ini</w:t>
      </w:r>
    </w:p>
    <w:p w:rsidR="00364180" w:rsidRPr="002272BF" w:rsidRDefault="00364180" w:rsidP="00364180">
      <w:pPr>
        <w:pStyle w:val="ListParagraph"/>
        <w:widowControl/>
        <w:numPr>
          <w:ilvl w:val="0"/>
          <w:numId w:val="10"/>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Mimpi, yaitu keluarnya cairan sperma (mani) bagi laki-laki dan bukan mani bagi perempuan, sebagai hasil dari mimpi berhubungan seks ketika tidur.</w:t>
      </w:r>
    </w:p>
    <w:p w:rsidR="00364180" w:rsidRPr="002272BF" w:rsidRDefault="00364180" w:rsidP="00364180">
      <w:pPr>
        <w:pStyle w:val="ListParagraph"/>
        <w:widowControl/>
        <w:numPr>
          <w:ilvl w:val="0"/>
          <w:numId w:val="10"/>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Tumbuh rambut di sekitar alat kelamin.</w:t>
      </w:r>
    </w:p>
    <w:p w:rsidR="00364180" w:rsidRPr="002272BF" w:rsidRDefault="00364180" w:rsidP="00364180">
      <w:pPr>
        <w:pStyle w:val="ListParagraph"/>
        <w:widowControl/>
        <w:numPr>
          <w:ilvl w:val="0"/>
          <w:numId w:val="10"/>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Genap berusia 15 tahun.</w:t>
      </w:r>
    </w:p>
    <w:p w:rsidR="00364180" w:rsidRPr="002272BF" w:rsidRDefault="00364180" w:rsidP="00364180">
      <w:pPr>
        <w:pStyle w:val="ListParagraph"/>
        <w:widowControl/>
        <w:numPr>
          <w:ilvl w:val="0"/>
          <w:numId w:val="10"/>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Keluar haid.</w:t>
      </w:r>
      <w:r w:rsidRPr="002272BF">
        <w:rPr>
          <w:rStyle w:val="FootnoteReference"/>
          <w:rFonts w:asciiTheme="majorBidi" w:hAnsiTheme="majorBidi" w:cstheme="majorBidi"/>
        </w:rPr>
        <w:footnoteReference w:id="17"/>
      </w:r>
    </w:p>
    <w:p w:rsidR="00364180" w:rsidRDefault="00364180" w:rsidP="00364180">
      <w:pPr>
        <w:spacing w:after="0" w:line="360" w:lineRule="auto"/>
        <w:ind w:firstLine="567"/>
        <w:jc w:val="both"/>
        <w:rPr>
          <w:rFonts w:asciiTheme="majorBidi" w:hAnsiTheme="majorBidi" w:cstheme="majorBidi"/>
          <w:sz w:val="24"/>
          <w:szCs w:val="24"/>
        </w:rPr>
      </w:pPr>
      <w:r w:rsidRPr="002272BF">
        <w:rPr>
          <w:rFonts w:asciiTheme="majorBidi" w:hAnsiTheme="majorBidi" w:cstheme="majorBidi"/>
          <w:sz w:val="24"/>
          <w:szCs w:val="24"/>
        </w:rPr>
        <w:t>Jika dikaitkan dengan naluri dan dorongan seksual, maka pada masa remaja dorongan tersebut sudah mulai tumbuh bahkan dapat bersifat sangat bergejolak. Sedangkan pada masa kanak-kanak dorongan seksualitas, khususnya yang berhubungan dengan koitus (jima’), memang belum terasa. Tetapi setelah anak dalam usia remaja (balig), dimana organ-organ seksualitasnya mulai matang, maka kebutuhan koitus itu merupakan hubungan alami yaitu sebagai pemenuhan kebutuhan dasar seks, yang pada saat-saat ini memerlukan sambutan dari luar.</w:t>
      </w:r>
      <w:r w:rsidRPr="002272BF">
        <w:rPr>
          <w:rStyle w:val="FootnoteReference"/>
          <w:rFonts w:asciiTheme="majorBidi" w:hAnsiTheme="majorBidi" w:cstheme="majorBidi"/>
          <w:sz w:val="24"/>
          <w:szCs w:val="24"/>
        </w:rPr>
        <w:footnoteReference w:id="18"/>
      </w:r>
      <w:r w:rsidRPr="002272BF">
        <w:rPr>
          <w:rFonts w:asciiTheme="majorBidi" w:hAnsiTheme="majorBidi" w:cstheme="majorBidi"/>
          <w:sz w:val="24"/>
          <w:szCs w:val="24"/>
        </w:rPr>
        <w:t xml:space="preserve"> </w:t>
      </w:r>
    </w:p>
    <w:p w:rsidR="00364180" w:rsidRPr="002272BF" w:rsidRDefault="00364180" w:rsidP="00364180">
      <w:pPr>
        <w:spacing w:after="0" w:line="360" w:lineRule="auto"/>
        <w:ind w:firstLine="567"/>
        <w:jc w:val="both"/>
        <w:rPr>
          <w:rFonts w:asciiTheme="majorBidi" w:hAnsiTheme="majorBidi" w:cstheme="majorBidi"/>
          <w:sz w:val="24"/>
          <w:szCs w:val="24"/>
        </w:rPr>
      </w:pPr>
      <w:r w:rsidRPr="002272BF">
        <w:rPr>
          <w:rFonts w:asciiTheme="majorBidi" w:hAnsiTheme="majorBidi" w:cstheme="majorBidi"/>
          <w:sz w:val="24"/>
          <w:szCs w:val="24"/>
        </w:rPr>
        <w:t>Masa remaja adalah masa yang penuh kegelisahan dan gejolak. Fisiknya sudah mulai besar laksana orang dewasa, namun kenyataannya masih tergantung pada kedua orang tua. Naluri seksual mulai tumbuh dalam dirinya. Mulai tertarik dengan lawan jenis dan ada dorongan kuat agar dapat memuaskan naluri seksual tersebut. tetapi norma-norma sosial dan agama biasanya mengahalanginya untuk melakukan hal demikian sehingga muncullah kegelisahan.</w:t>
      </w:r>
      <w:r w:rsidRPr="002272BF">
        <w:rPr>
          <w:rStyle w:val="FootnoteReference"/>
          <w:rFonts w:asciiTheme="majorBidi" w:hAnsiTheme="majorBidi" w:cstheme="majorBidi"/>
          <w:sz w:val="24"/>
          <w:szCs w:val="24"/>
        </w:rPr>
        <w:footnoteReference w:id="19"/>
      </w:r>
      <w:r w:rsidRPr="002272BF">
        <w:rPr>
          <w:rFonts w:asciiTheme="majorBidi" w:hAnsiTheme="majorBidi" w:cstheme="majorBidi"/>
          <w:sz w:val="24"/>
          <w:szCs w:val="24"/>
        </w:rPr>
        <w:t xml:space="preserve"> Kegelisahan pada remaja mengantarkannya pada pencarian, percobaan dan mungkin </w:t>
      </w:r>
      <w:r>
        <w:rPr>
          <w:rFonts w:asciiTheme="majorBidi" w:hAnsiTheme="majorBidi" w:cstheme="majorBidi"/>
          <w:sz w:val="24"/>
          <w:szCs w:val="24"/>
        </w:rPr>
        <w:t xml:space="preserve">tenggelam serta </w:t>
      </w:r>
      <w:r w:rsidRPr="002272BF">
        <w:rPr>
          <w:rFonts w:asciiTheme="majorBidi" w:hAnsiTheme="majorBidi" w:cstheme="majorBidi"/>
          <w:sz w:val="24"/>
          <w:szCs w:val="24"/>
        </w:rPr>
        <w:t>terjerumus pada berbagai aktivitas</w:t>
      </w:r>
      <w:r>
        <w:rPr>
          <w:rFonts w:asciiTheme="majorBidi" w:hAnsiTheme="majorBidi" w:cstheme="majorBidi"/>
          <w:sz w:val="24"/>
          <w:szCs w:val="24"/>
        </w:rPr>
        <w:t xml:space="preserve"> baik positif maupun negatif</w:t>
      </w:r>
      <w:r w:rsidRPr="002272BF">
        <w:rPr>
          <w:rFonts w:asciiTheme="majorBidi" w:hAnsiTheme="majorBidi" w:cstheme="majorBidi"/>
          <w:sz w:val="24"/>
          <w:szCs w:val="24"/>
        </w:rPr>
        <w:t>.</w:t>
      </w:r>
    </w:p>
    <w:p w:rsidR="00364180" w:rsidRPr="002272BF" w:rsidRDefault="00364180" w:rsidP="00364180">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t xml:space="preserve">Pada </w:t>
      </w:r>
      <w:r w:rsidRPr="002272BF">
        <w:rPr>
          <w:rFonts w:asciiTheme="majorBidi" w:hAnsiTheme="majorBidi" w:cstheme="majorBidi"/>
          <w:sz w:val="24"/>
          <w:szCs w:val="24"/>
        </w:rPr>
        <w:t xml:space="preserve">fase remaja dorongan seksual mulai muncul dalam diri setiap individu. Di sinilah sisi mental dan sosial mulai bergejolak dan remaja pada fase ini berupaya mencari dan menemukan jati dirinya. Kemudian remaja melakukan tindakan baik secara individu  maupun dengan teman sebayanya guna mencari dan memantapkan siapa dirinya. Pada masa ini pula </w:t>
      </w:r>
      <w:r w:rsidRPr="002272BF">
        <w:rPr>
          <w:rFonts w:asciiTheme="majorBidi" w:hAnsiTheme="majorBidi" w:cstheme="majorBidi"/>
          <w:sz w:val="24"/>
          <w:szCs w:val="24"/>
        </w:rPr>
        <w:lastRenderedPageBreak/>
        <w:t xml:space="preserve">remaja mudah gamang dan goyah serta belum memiliki kestabilan mental. Sehingga pada fase ini, remaja membutuhkan </w:t>
      </w:r>
      <w:r>
        <w:rPr>
          <w:rFonts w:asciiTheme="majorBidi" w:hAnsiTheme="majorBidi" w:cstheme="majorBidi"/>
          <w:sz w:val="24"/>
          <w:szCs w:val="24"/>
        </w:rPr>
        <w:t xml:space="preserve">pengawasan dan </w:t>
      </w:r>
      <w:r w:rsidRPr="002272BF">
        <w:rPr>
          <w:rFonts w:asciiTheme="majorBidi" w:hAnsiTheme="majorBidi" w:cstheme="majorBidi"/>
          <w:sz w:val="24"/>
          <w:szCs w:val="24"/>
        </w:rPr>
        <w:t>bimbingan edukatif.</w:t>
      </w:r>
    </w:p>
    <w:p w:rsidR="00364180" w:rsidRDefault="00364180" w:rsidP="00364180">
      <w:pPr>
        <w:spacing w:after="0" w:line="360" w:lineRule="auto"/>
        <w:ind w:firstLine="567"/>
        <w:jc w:val="both"/>
        <w:rPr>
          <w:rFonts w:asciiTheme="majorBidi" w:hAnsiTheme="majorBidi" w:cstheme="majorBidi"/>
          <w:sz w:val="24"/>
          <w:szCs w:val="24"/>
        </w:rPr>
      </w:pPr>
      <w:r w:rsidRPr="002272BF">
        <w:rPr>
          <w:rFonts w:asciiTheme="majorBidi" w:hAnsiTheme="majorBidi" w:cstheme="majorBidi"/>
          <w:sz w:val="24"/>
          <w:szCs w:val="24"/>
        </w:rPr>
        <w:t xml:space="preserve">Walaupun remaja mulai tumbuh ke arah manusia dewasa, pada hakikatnya remaja membutuhkan bimbingan dalam membantunya menjalani fase penting dan genting dalam kehidupannya. Remaja memerlukan lingkungan dan pendidikan yang mampu mengarahkan dan mendorongnya secara aktif baik dalam lingkup kehidupan privat maupun sosial yang seimbang. </w:t>
      </w:r>
    </w:p>
    <w:p w:rsidR="00364180" w:rsidRPr="002272BF" w:rsidRDefault="00364180" w:rsidP="00364180">
      <w:pPr>
        <w:spacing w:after="0" w:line="360" w:lineRule="auto"/>
        <w:ind w:firstLine="567"/>
        <w:jc w:val="both"/>
        <w:rPr>
          <w:rFonts w:asciiTheme="majorBidi" w:hAnsiTheme="majorBidi" w:cstheme="majorBidi"/>
          <w:sz w:val="24"/>
          <w:szCs w:val="24"/>
        </w:rPr>
      </w:pPr>
      <w:r w:rsidRPr="002272BF">
        <w:rPr>
          <w:rFonts w:asciiTheme="majorBidi" w:hAnsiTheme="majorBidi" w:cstheme="majorBidi"/>
          <w:sz w:val="24"/>
          <w:szCs w:val="24"/>
        </w:rPr>
        <w:t>Remaja jika dilihat dari kebutuhan dan kecenderungannya memiliki tujuh kebutuhan</w:t>
      </w:r>
      <w:r>
        <w:rPr>
          <w:rFonts w:asciiTheme="majorBidi" w:hAnsiTheme="majorBidi" w:cstheme="majorBidi"/>
          <w:sz w:val="24"/>
          <w:szCs w:val="24"/>
        </w:rPr>
        <w:t>. Kebutuhan tersebut merupakan keniscayaan bagi remaja pada masanya. Jika kebutuhannya tidak terpenuhi atau terhambat, maka remaja akan berontak dan bergejolak. Kebutuhan</w:t>
      </w:r>
      <w:r w:rsidRPr="002272BF">
        <w:rPr>
          <w:rFonts w:asciiTheme="majorBidi" w:hAnsiTheme="majorBidi" w:cstheme="majorBidi"/>
          <w:sz w:val="24"/>
          <w:szCs w:val="24"/>
        </w:rPr>
        <w:t xml:space="preserve"> utama </w:t>
      </w:r>
      <w:r>
        <w:rPr>
          <w:rFonts w:asciiTheme="majorBidi" w:hAnsiTheme="majorBidi" w:cstheme="majorBidi"/>
          <w:sz w:val="24"/>
          <w:szCs w:val="24"/>
        </w:rPr>
        <w:t>tersebut meliputi</w:t>
      </w:r>
    </w:p>
    <w:p w:rsidR="00364180" w:rsidRPr="002272BF" w:rsidRDefault="00364180" w:rsidP="00364180">
      <w:pPr>
        <w:pStyle w:val="ListParagraph"/>
        <w:widowControl/>
        <w:numPr>
          <w:ilvl w:val="0"/>
          <w:numId w:val="7"/>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Kebutuhan kasih sayang.</w:t>
      </w:r>
    </w:p>
    <w:p w:rsidR="00364180" w:rsidRPr="002272BF" w:rsidRDefault="00364180" w:rsidP="00364180">
      <w:pPr>
        <w:pStyle w:val="ListParagraph"/>
        <w:widowControl/>
        <w:numPr>
          <w:ilvl w:val="0"/>
          <w:numId w:val="7"/>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Kebutuhan keikutsertaan dan diterima dalam kelompok.</w:t>
      </w:r>
    </w:p>
    <w:p w:rsidR="00364180" w:rsidRPr="002272BF" w:rsidRDefault="00364180" w:rsidP="00364180">
      <w:pPr>
        <w:pStyle w:val="ListParagraph"/>
        <w:widowControl/>
        <w:numPr>
          <w:ilvl w:val="0"/>
          <w:numId w:val="7"/>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Kebutuhan mandiri.</w:t>
      </w:r>
    </w:p>
    <w:p w:rsidR="00364180" w:rsidRPr="002272BF" w:rsidRDefault="00364180" w:rsidP="00364180">
      <w:pPr>
        <w:pStyle w:val="ListParagraph"/>
        <w:widowControl/>
        <w:numPr>
          <w:ilvl w:val="0"/>
          <w:numId w:val="7"/>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Kebutuhan untuk berprestasi.</w:t>
      </w:r>
    </w:p>
    <w:p w:rsidR="00364180" w:rsidRPr="002272BF" w:rsidRDefault="00364180" w:rsidP="00364180">
      <w:pPr>
        <w:pStyle w:val="ListParagraph"/>
        <w:widowControl/>
        <w:numPr>
          <w:ilvl w:val="0"/>
          <w:numId w:val="7"/>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Kebutuhan pengakuan dari orang lain.</w:t>
      </w:r>
    </w:p>
    <w:p w:rsidR="00364180" w:rsidRPr="002272BF" w:rsidRDefault="00364180" w:rsidP="00364180">
      <w:pPr>
        <w:pStyle w:val="ListParagraph"/>
        <w:widowControl/>
        <w:numPr>
          <w:ilvl w:val="0"/>
          <w:numId w:val="7"/>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Kebutuhan untukdihargai.</w:t>
      </w:r>
    </w:p>
    <w:p w:rsidR="00364180" w:rsidRPr="002272BF" w:rsidRDefault="00364180" w:rsidP="00364180">
      <w:pPr>
        <w:pStyle w:val="ListParagraph"/>
        <w:widowControl/>
        <w:numPr>
          <w:ilvl w:val="0"/>
          <w:numId w:val="7"/>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Kebutuhan untuk memperoleh fasilitas hidup.</w:t>
      </w:r>
      <w:r w:rsidRPr="002272BF">
        <w:rPr>
          <w:rStyle w:val="FootnoteReference"/>
          <w:rFonts w:asciiTheme="majorBidi" w:hAnsiTheme="majorBidi" w:cstheme="majorBidi"/>
        </w:rPr>
        <w:footnoteReference w:id="20"/>
      </w:r>
    </w:p>
    <w:p w:rsidR="00364180" w:rsidRPr="002272BF" w:rsidRDefault="00364180" w:rsidP="00364180">
      <w:pPr>
        <w:pStyle w:val="ListParagraph"/>
        <w:spacing w:line="360" w:lineRule="auto"/>
        <w:ind w:left="0" w:firstLine="567"/>
        <w:jc w:val="both"/>
        <w:rPr>
          <w:rFonts w:asciiTheme="majorBidi" w:hAnsiTheme="majorBidi" w:cstheme="majorBidi"/>
        </w:rPr>
      </w:pPr>
      <w:r w:rsidRPr="002272BF">
        <w:rPr>
          <w:rFonts w:asciiTheme="majorBidi" w:hAnsiTheme="majorBidi" w:cstheme="majorBidi"/>
        </w:rPr>
        <w:t>Setiap remaja akan mengalami masa pubertas dan berbagai gejolak yang melingkupinya. Pubertas adalah masa perkembangan fisik yang cepat ketika reproduksi seksual pertama kali terjadi atau pertama kali seorang laki-laki secara fisik mampu menghamili seorang perempuan dan seorang perempuan secara fisik sanggup mengandung dan melahirkan bayi. Pubertas berkaitan dengan perubahan fisik yang terjadi selama masa pra-remaja dan masa remaja. Sementara masa remaja (</w:t>
      </w:r>
      <w:r w:rsidRPr="002272BF">
        <w:rPr>
          <w:rFonts w:asciiTheme="majorBidi" w:hAnsiTheme="majorBidi" w:cstheme="majorBidi"/>
          <w:i/>
          <w:iCs/>
        </w:rPr>
        <w:t>adolescence</w:t>
      </w:r>
      <w:r w:rsidRPr="002272BF">
        <w:rPr>
          <w:rFonts w:asciiTheme="majorBidi" w:hAnsiTheme="majorBidi" w:cstheme="majorBidi"/>
        </w:rPr>
        <w:t>) adalah perubahan emosi dan perubahan sosial pada masa remaja. Masa remaja biasanya terjadi sekitar 2 tahun setelah masa pubertas yang menggambarkan dampak perubahan fisik dan pengalaman emosional mendalam.</w:t>
      </w:r>
      <w:r w:rsidRPr="002272BF">
        <w:rPr>
          <w:rStyle w:val="FootnoteReference"/>
          <w:rFonts w:asciiTheme="majorBidi" w:hAnsiTheme="majorBidi" w:cstheme="majorBidi"/>
        </w:rPr>
        <w:footnoteReference w:id="21"/>
      </w:r>
    </w:p>
    <w:p w:rsidR="00364180" w:rsidRPr="002272BF" w:rsidRDefault="00364180" w:rsidP="00364180">
      <w:pPr>
        <w:spacing w:after="0" w:line="360" w:lineRule="auto"/>
        <w:ind w:firstLine="567"/>
        <w:jc w:val="both"/>
        <w:rPr>
          <w:rFonts w:asciiTheme="majorBidi" w:hAnsiTheme="majorBidi" w:cstheme="majorBidi"/>
          <w:sz w:val="24"/>
          <w:szCs w:val="24"/>
        </w:rPr>
      </w:pPr>
      <w:r w:rsidRPr="002272BF">
        <w:rPr>
          <w:rFonts w:asciiTheme="majorBidi" w:hAnsiTheme="majorBidi" w:cstheme="majorBidi"/>
          <w:sz w:val="24"/>
          <w:szCs w:val="24"/>
        </w:rPr>
        <w:t xml:space="preserve">Salah satu aspek pendidikan yang perlu diberikan dan disampaikan pada masa remaja guna memberikan bekal dalam menghadapi dan mengaruhi kehidupannya adalah pendidikan seks menurut perspektif Islam. Islam telah memberikan panduan bagaimana pendidikan seks pada remaja. Pendidikan seks pada remaja ditekankan pada pengetahuan dan bimbingan </w:t>
      </w:r>
      <w:r w:rsidRPr="002272BF">
        <w:rPr>
          <w:rFonts w:asciiTheme="majorBidi" w:hAnsiTheme="majorBidi" w:cstheme="majorBidi"/>
          <w:sz w:val="24"/>
          <w:szCs w:val="24"/>
        </w:rPr>
        <w:lastRenderedPageBreak/>
        <w:t>seputar hubungan perkelaminan yang meliputi wawasan dan edukasi seputar naluri seks, sistem reproduksi,</w:t>
      </w:r>
      <w:r w:rsidRPr="002272BF">
        <w:rPr>
          <w:rStyle w:val="FootnoteReference"/>
          <w:rFonts w:asciiTheme="majorBidi" w:hAnsiTheme="majorBidi" w:cstheme="majorBidi"/>
          <w:sz w:val="24"/>
          <w:szCs w:val="24"/>
        </w:rPr>
        <w:footnoteReference w:id="22"/>
      </w:r>
      <w:r w:rsidRPr="002272BF">
        <w:rPr>
          <w:rFonts w:asciiTheme="majorBidi" w:hAnsiTheme="majorBidi" w:cstheme="majorBidi"/>
          <w:sz w:val="24"/>
          <w:szCs w:val="24"/>
        </w:rPr>
        <w:t xml:space="preserve"> perkawinan, kewajiban agama, dan penyimpangan seksual. Pendidikan seks pada remaja bukan ditekankan pada teknis berhubungan seks.</w:t>
      </w:r>
    </w:p>
    <w:p w:rsidR="00364180" w:rsidRPr="002272BF" w:rsidRDefault="00364180" w:rsidP="00364180">
      <w:pPr>
        <w:pStyle w:val="ListParagraph"/>
        <w:spacing w:line="360" w:lineRule="auto"/>
        <w:ind w:left="0" w:firstLine="567"/>
        <w:jc w:val="both"/>
        <w:rPr>
          <w:rFonts w:asciiTheme="majorBidi" w:hAnsiTheme="majorBidi" w:cstheme="majorBidi"/>
        </w:rPr>
      </w:pPr>
      <w:r w:rsidRPr="002272BF">
        <w:rPr>
          <w:rFonts w:asciiTheme="majorBidi" w:hAnsiTheme="majorBidi" w:cstheme="majorBidi"/>
        </w:rPr>
        <w:t>Pendidikan seks lebih lanjut berlaku untuk semua lapisan umur dengan penekanan yang berbeda.</w:t>
      </w:r>
      <w:r w:rsidRPr="002272BF">
        <w:rPr>
          <w:rStyle w:val="FootnoteReference"/>
          <w:rFonts w:asciiTheme="majorBidi" w:hAnsiTheme="majorBidi" w:cstheme="majorBidi"/>
        </w:rPr>
        <w:footnoteReference w:id="23"/>
      </w:r>
      <w:r w:rsidRPr="002272BF">
        <w:rPr>
          <w:rFonts w:asciiTheme="majorBidi" w:hAnsiTheme="majorBidi" w:cstheme="majorBidi"/>
        </w:rPr>
        <w:t xml:space="preserve"> Pendidikan seks harus diberikan dan dipahami oleh setiap muslim dan diajarkan sejak manusia lahir dan orang yang pertama bertanggungjawab terhadap pendidikan ini adalah orang tua dalam rumah tangga.</w:t>
      </w:r>
      <w:r w:rsidRPr="002272BF">
        <w:rPr>
          <w:rStyle w:val="FootnoteReference"/>
          <w:rFonts w:asciiTheme="majorBidi" w:hAnsiTheme="majorBidi" w:cstheme="majorBidi"/>
        </w:rPr>
        <w:footnoteReference w:id="24"/>
      </w:r>
      <w:r w:rsidRPr="002272BF">
        <w:rPr>
          <w:rFonts w:asciiTheme="majorBidi" w:hAnsiTheme="majorBidi" w:cstheme="majorBidi"/>
        </w:rPr>
        <w:t xml:space="preserve"> </w:t>
      </w:r>
    </w:p>
    <w:p w:rsidR="00364180" w:rsidRPr="002272BF" w:rsidRDefault="00364180" w:rsidP="00364180">
      <w:pPr>
        <w:pStyle w:val="ListParagraph"/>
        <w:spacing w:line="360" w:lineRule="auto"/>
        <w:ind w:left="0" w:firstLine="567"/>
        <w:jc w:val="both"/>
        <w:rPr>
          <w:rFonts w:asciiTheme="majorBidi" w:hAnsiTheme="majorBidi" w:cstheme="majorBidi"/>
        </w:rPr>
      </w:pPr>
      <w:r w:rsidRPr="002272BF">
        <w:rPr>
          <w:rFonts w:asciiTheme="majorBidi" w:hAnsiTheme="majorBidi" w:cstheme="majorBidi"/>
        </w:rPr>
        <w:t xml:space="preserve">Dalam Islam, ada beberapa hal yang penting diperhatikan pada remaja </w:t>
      </w:r>
      <w:r>
        <w:rPr>
          <w:rFonts w:asciiTheme="majorBidi" w:hAnsiTheme="majorBidi" w:cstheme="majorBidi"/>
        </w:rPr>
        <w:t>berkaitan</w:t>
      </w:r>
      <w:r w:rsidRPr="002272BF">
        <w:rPr>
          <w:rFonts w:asciiTheme="majorBidi" w:hAnsiTheme="majorBidi" w:cstheme="majorBidi"/>
        </w:rPr>
        <w:t xml:space="preserve"> dengan pendidikan seks yaitu</w:t>
      </w:r>
    </w:p>
    <w:p w:rsidR="00364180" w:rsidRPr="002272BF" w:rsidRDefault="00364180" w:rsidP="00364180">
      <w:pPr>
        <w:pStyle w:val="ListParagraph"/>
        <w:widowControl/>
        <w:numPr>
          <w:ilvl w:val="0"/>
          <w:numId w:val="5"/>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Ajarkanlah masalah seksual sesuai dengan tahapan usia dan perkembangan kejiawaannya. Dasar-dasar hubungan seksual tidak boleh diajarkan kecuali jika mereka sudah berusia dewasa (balig).</w:t>
      </w:r>
    </w:p>
    <w:p w:rsidR="00364180" w:rsidRPr="002272BF" w:rsidRDefault="00364180" w:rsidP="00364180">
      <w:pPr>
        <w:pStyle w:val="ListParagraph"/>
        <w:widowControl/>
        <w:numPr>
          <w:ilvl w:val="0"/>
          <w:numId w:val="5"/>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Yang paling baik, seorang ibu hendaknya membimbing dan mengajari putrinya perilah masalah seks karena ia akan lebih yakin dengan penjelasan dan keterangan objektif ibunya tentang persoalan tersebut. Jika ibunya tidak ada, perannya bisa digantikan oleh pembimbing wanita lainnya seperti bibi.</w:t>
      </w:r>
      <w:r w:rsidRPr="002272BF">
        <w:rPr>
          <w:rStyle w:val="FootnoteReference"/>
          <w:rFonts w:asciiTheme="majorBidi" w:hAnsiTheme="majorBidi" w:cstheme="majorBidi"/>
        </w:rPr>
        <w:footnoteReference w:id="25"/>
      </w:r>
    </w:p>
    <w:p w:rsidR="00364180" w:rsidRPr="002272BF" w:rsidRDefault="00364180" w:rsidP="00364180">
      <w:pPr>
        <w:spacing w:after="0" w:line="360" w:lineRule="auto"/>
        <w:ind w:firstLine="426"/>
        <w:jc w:val="both"/>
        <w:rPr>
          <w:rFonts w:asciiTheme="majorBidi" w:hAnsiTheme="majorBidi" w:cstheme="majorBidi"/>
          <w:sz w:val="24"/>
          <w:szCs w:val="24"/>
        </w:rPr>
      </w:pPr>
      <w:r w:rsidRPr="002272BF">
        <w:rPr>
          <w:rFonts w:asciiTheme="majorBidi" w:hAnsiTheme="majorBidi" w:cstheme="majorBidi"/>
          <w:sz w:val="24"/>
          <w:szCs w:val="24"/>
        </w:rPr>
        <w:t>Salah satu tanggung jawab yang diberikan Islam kepada pendidik adalah menghindari anak (remaja) dari hal yang merangsang seks dan merusak akhlaknya. Hal ini dilaksanakan ketika anak mencapai usia puber dari umur 10 tahun hingga balig.</w:t>
      </w:r>
      <w:r w:rsidRPr="002272BF">
        <w:rPr>
          <w:rStyle w:val="FootnoteReference"/>
          <w:rFonts w:asciiTheme="majorBidi" w:hAnsiTheme="majorBidi" w:cstheme="majorBidi"/>
          <w:sz w:val="24"/>
          <w:szCs w:val="24"/>
        </w:rPr>
        <w:footnoteReference w:id="26"/>
      </w:r>
      <w:r w:rsidRPr="002272BF">
        <w:rPr>
          <w:rFonts w:asciiTheme="majorBidi" w:hAnsiTheme="majorBidi" w:cstheme="majorBidi"/>
          <w:sz w:val="24"/>
          <w:szCs w:val="24"/>
        </w:rPr>
        <w:t xml:space="preserve"> Guna mewujudkan hal tersebut, pendidik memiliki tanggung jawab pengawasan terhadap remajadalam hal-hal berikut</w:t>
      </w:r>
    </w:p>
    <w:p w:rsidR="00364180" w:rsidRPr="002272BF" w:rsidRDefault="00364180" w:rsidP="00364180">
      <w:pPr>
        <w:pStyle w:val="ListParagraph"/>
        <w:widowControl/>
        <w:numPr>
          <w:ilvl w:val="0"/>
          <w:numId w:val="8"/>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Remaja masuk ke rumah (ruang) tanpa izin.</w:t>
      </w:r>
    </w:p>
    <w:p w:rsidR="00364180" w:rsidRPr="002272BF" w:rsidRDefault="00364180" w:rsidP="00364180">
      <w:pPr>
        <w:pStyle w:val="ListParagraph"/>
        <w:widowControl/>
        <w:numPr>
          <w:ilvl w:val="0"/>
          <w:numId w:val="8"/>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Anak pada usia puber awal (9 tahun ke atas) bergaul dengan perempuan bukan muhrim.</w:t>
      </w:r>
    </w:p>
    <w:p w:rsidR="00364180" w:rsidRPr="002272BF" w:rsidRDefault="00364180" w:rsidP="00364180">
      <w:pPr>
        <w:pStyle w:val="ListParagraph"/>
        <w:widowControl/>
        <w:numPr>
          <w:ilvl w:val="0"/>
          <w:numId w:val="8"/>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Anak pada usia 10 tahun ke atas tidur dalam satu tempat bersama saudara-saudaranya yang laki-laki atau perempuan.</w:t>
      </w:r>
    </w:p>
    <w:p w:rsidR="00364180" w:rsidRPr="002272BF" w:rsidRDefault="00364180" w:rsidP="00364180">
      <w:pPr>
        <w:pStyle w:val="ListParagraph"/>
        <w:widowControl/>
        <w:numPr>
          <w:ilvl w:val="0"/>
          <w:numId w:val="8"/>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 xml:space="preserve">Menatap aurat perempuan terbuka sejak anak berusia </w:t>
      </w:r>
      <w:r w:rsidRPr="002272BF">
        <w:rPr>
          <w:rFonts w:asciiTheme="majorBidi" w:hAnsiTheme="majorBidi" w:cstheme="majorBidi"/>
          <w:i/>
          <w:iCs/>
        </w:rPr>
        <w:t xml:space="preserve">mumayiz </w:t>
      </w:r>
      <w:r w:rsidRPr="002272BF">
        <w:rPr>
          <w:rFonts w:asciiTheme="majorBidi" w:hAnsiTheme="majorBidi" w:cstheme="majorBidi"/>
        </w:rPr>
        <w:t>dan seterusnya.</w:t>
      </w:r>
    </w:p>
    <w:p w:rsidR="00364180" w:rsidRPr="002272BF" w:rsidRDefault="00364180" w:rsidP="00364180">
      <w:pPr>
        <w:pStyle w:val="ListParagraph"/>
        <w:widowControl/>
        <w:numPr>
          <w:ilvl w:val="0"/>
          <w:numId w:val="8"/>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Memberikan peluang kepada anak untuk menyaksikan film yang merangsang, drama erotis dan iklan-iklan jorok.</w:t>
      </w:r>
    </w:p>
    <w:p w:rsidR="00364180" w:rsidRPr="002272BF" w:rsidRDefault="00364180" w:rsidP="00364180">
      <w:pPr>
        <w:pStyle w:val="ListParagraph"/>
        <w:widowControl/>
        <w:numPr>
          <w:ilvl w:val="0"/>
          <w:numId w:val="8"/>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lastRenderedPageBreak/>
        <w:t>Membiarkan anak membiasakan kehendak nafsunya melihat gambar porno, majalah jorok, membaca kisah cinta yang merangsang dan mendengar lagu yang menyentuh naluri seksual tanpa pengawasan yang ketat.</w:t>
      </w:r>
    </w:p>
    <w:p w:rsidR="00364180" w:rsidRPr="002272BF" w:rsidRDefault="00364180" w:rsidP="00364180">
      <w:pPr>
        <w:pStyle w:val="ListParagraph"/>
        <w:widowControl/>
        <w:numPr>
          <w:ilvl w:val="0"/>
          <w:numId w:val="8"/>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Memberikan kesempatan kepada anak sejak usia puber dalam bergaul dengan perempuan teman dekatnya atau gadis tetangganya dengan alasan belajar.</w:t>
      </w:r>
      <w:r w:rsidRPr="002272BF">
        <w:rPr>
          <w:rStyle w:val="FootnoteReference"/>
          <w:rFonts w:asciiTheme="majorBidi" w:hAnsiTheme="majorBidi" w:cstheme="majorBidi"/>
        </w:rPr>
        <w:footnoteReference w:id="27"/>
      </w:r>
    </w:p>
    <w:p w:rsidR="00364180" w:rsidRPr="002272BF" w:rsidRDefault="00364180" w:rsidP="00364180">
      <w:pPr>
        <w:spacing w:after="0" w:line="360" w:lineRule="auto"/>
        <w:jc w:val="both"/>
        <w:rPr>
          <w:rFonts w:asciiTheme="majorBidi" w:hAnsiTheme="majorBidi" w:cstheme="majorBidi"/>
          <w:sz w:val="24"/>
          <w:szCs w:val="24"/>
        </w:rPr>
      </w:pPr>
    </w:p>
    <w:p w:rsidR="00364180" w:rsidRPr="002272BF" w:rsidRDefault="00364180" w:rsidP="00364180">
      <w:pPr>
        <w:spacing w:after="0" w:line="360" w:lineRule="auto"/>
        <w:jc w:val="both"/>
        <w:rPr>
          <w:rFonts w:asciiTheme="majorBidi" w:hAnsiTheme="majorBidi" w:cstheme="majorBidi"/>
          <w:b/>
          <w:bCs/>
          <w:sz w:val="24"/>
          <w:szCs w:val="24"/>
        </w:rPr>
      </w:pPr>
      <w:r w:rsidRPr="002272BF">
        <w:rPr>
          <w:rFonts w:asciiTheme="majorBidi" w:hAnsiTheme="majorBidi" w:cstheme="majorBidi"/>
          <w:b/>
          <w:bCs/>
          <w:sz w:val="24"/>
          <w:szCs w:val="24"/>
        </w:rPr>
        <w:t>Prinsip Pendidikan Seks</w:t>
      </w:r>
    </w:p>
    <w:p w:rsidR="00364180" w:rsidRPr="002272BF" w:rsidRDefault="00364180" w:rsidP="00364180">
      <w:pPr>
        <w:spacing w:after="0" w:line="360" w:lineRule="auto"/>
        <w:ind w:firstLine="567"/>
        <w:jc w:val="both"/>
        <w:rPr>
          <w:rFonts w:asciiTheme="majorBidi" w:hAnsiTheme="majorBidi" w:cstheme="majorBidi"/>
          <w:sz w:val="24"/>
          <w:szCs w:val="24"/>
        </w:rPr>
      </w:pPr>
      <w:r w:rsidRPr="002272BF">
        <w:rPr>
          <w:rFonts w:asciiTheme="majorBidi" w:hAnsiTheme="majorBidi" w:cstheme="majorBidi"/>
          <w:sz w:val="24"/>
          <w:szCs w:val="24"/>
        </w:rPr>
        <w:t>Islam mengajarkan bahwa masalah seks bukanlah sesuatu yang buruk. Mempelajari masalah seks</w:t>
      </w:r>
      <w:r>
        <w:rPr>
          <w:rFonts w:asciiTheme="majorBidi" w:hAnsiTheme="majorBidi" w:cstheme="majorBidi"/>
          <w:sz w:val="24"/>
          <w:szCs w:val="24"/>
        </w:rPr>
        <w:t xml:space="preserve"> (pendidikan seks)</w:t>
      </w:r>
      <w:r w:rsidRPr="002272BF">
        <w:rPr>
          <w:rFonts w:asciiTheme="majorBidi" w:hAnsiTheme="majorBidi" w:cstheme="majorBidi"/>
          <w:sz w:val="24"/>
          <w:szCs w:val="24"/>
        </w:rPr>
        <w:t xml:space="preserve"> dalam Islam juga tidak boleh sembarangan tanpa bimbingan dan arahan dari orang dewasa (pendidik). Ada tahapan dan prioritas tertentu yang ditekankan dalam pendidikan seks sesuai dengan perkembangan usia individu, termasuk remaja. Karenanya mempelajari pendidikan seks merupakan upaya dalam mengajarkan dan mendidik manusia agar memiliki etika dalam hubungan seksual dan implikasi yang terkait dengannya. Ada beberapa prinsip fundamental tentang pendidikan seksualitas dalam Islam yaitu</w:t>
      </w:r>
    </w:p>
    <w:p w:rsidR="00364180" w:rsidRPr="002272BF" w:rsidRDefault="00364180" w:rsidP="00364180">
      <w:pPr>
        <w:pStyle w:val="ListParagraph"/>
        <w:widowControl/>
        <w:numPr>
          <w:ilvl w:val="0"/>
          <w:numId w:val="6"/>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Seksualitas adalah sesuatu yang sehat dan alami dalam kehidupan.</w:t>
      </w:r>
    </w:p>
    <w:p w:rsidR="00364180" w:rsidRPr="002272BF" w:rsidRDefault="00364180" w:rsidP="00364180">
      <w:pPr>
        <w:pStyle w:val="ListParagraph"/>
        <w:widowControl/>
        <w:numPr>
          <w:ilvl w:val="0"/>
          <w:numId w:val="6"/>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Kenikmatan seksual adalah bagian dari rahmat Tuhan.</w:t>
      </w:r>
    </w:p>
    <w:p w:rsidR="00364180" w:rsidRPr="002272BF" w:rsidRDefault="00364180" w:rsidP="00364180">
      <w:pPr>
        <w:pStyle w:val="ListParagraph"/>
        <w:widowControl/>
        <w:numPr>
          <w:ilvl w:val="0"/>
          <w:numId w:val="6"/>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Seksualitas dalam Islam terkait dengan ibadah ritual seperti salat, puasa, haji.</w:t>
      </w:r>
    </w:p>
    <w:p w:rsidR="00364180" w:rsidRPr="002272BF" w:rsidRDefault="00364180" w:rsidP="00364180">
      <w:pPr>
        <w:pStyle w:val="ListParagraph"/>
        <w:widowControl/>
        <w:numPr>
          <w:ilvl w:val="0"/>
          <w:numId w:val="6"/>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 xml:space="preserve">Seksualitas terkait dengan kehidupan berkeluarga karena itu </w:t>
      </w:r>
      <w:r w:rsidRPr="002272BF">
        <w:rPr>
          <w:rFonts w:asciiTheme="majorBidi" w:hAnsiTheme="majorBidi" w:cstheme="majorBidi"/>
          <w:i/>
          <w:iCs/>
        </w:rPr>
        <w:t xml:space="preserve">pre-marital seks </w:t>
      </w:r>
      <w:r w:rsidRPr="002272BF">
        <w:rPr>
          <w:rFonts w:asciiTheme="majorBidi" w:hAnsiTheme="majorBidi" w:cstheme="majorBidi"/>
        </w:rPr>
        <w:t xml:space="preserve">dan </w:t>
      </w:r>
      <w:r w:rsidRPr="002272BF">
        <w:rPr>
          <w:rFonts w:asciiTheme="majorBidi" w:hAnsiTheme="majorBidi" w:cstheme="majorBidi"/>
          <w:i/>
          <w:iCs/>
        </w:rPr>
        <w:t xml:space="preserve">extra-marital seks </w:t>
      </w:r>
      <w:r w:rsidRPr="002272BF">
        <w:rPr>
          <w:rFonts w:asciiTheme="majorBidi" w:hAnsiTheme="majorBidi" w:cstheme="majorBidi"/>
        </w:rPr>
        <w:t>(zina) dilarang dalam Islam.</w:t>
      </w:r>
    </w:p>
    <w:p w:rsidR="00364180" w:rsidRPr="002272BF" w:rsidRDefault="00364180" w:rsidP="00364180">
      <w:pPr>
        <w:pStyle w:val="ListParagraph"/>
        <w:widowControl/>
        <w:numPr>
          <w:ilvl w:val="0"/>
          <w:numId w:val="6"/>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Orang tua dan pendidik seksualitas harus memberikan informasi benar dan dipercaya.</w:t>
      </w:r>
    </w:p>
    <w:p w:rsidR="00364180" w:rsidRPr="002272BF" w:rsidRDefault="00364180" w:rsidP="00364180">
      <w:pPr>
        <w:pStyle w:val="ListParagraph"/>
        <w:widowControl/>
        <w:numPr>
          <w:ilvl w:val="0"/>
          <w:numId w:val="6"/>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Seorang muslim tidak menunjukkan auratnya kecuali pada pasangan dan orang-orang tertentu.</w:t>
      </w:r>
    </w:p>
    <w:p w:rsidR="00364180" w:rsidRPr="002272BF" w:rsidRDefault="00364180" w:rsidP="00364180">
      <w:pPr>
        <w:pStyle w:val="ListParagraph"/>
        <w:widowControl/>
        <w:numPr>
          <w:ilvl w:val="0"/>
          <w:numId w:val="6"/>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Puasa adalah salah satu solusi untuk mengontrol hasrat seksual.</w:t>
      </w:r>
    </w:p>
    <w:p w:rsidR="00364180" w:rsidRPr="002272BF" w:rsidRDefault="00364180" w:rsidP="00364180">
      <w:pPr>
        <w:pStyle w:val="ListParagraph"/>
        <w:widowControl/>
        <w:numPr>
          <w:ilvl w:val="0"/>
          <w:numId w:val="6"/>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Hubungan dan kepuasan seksual harus dirasakan secara adil antara suami dan isteri.</w:t>
      </w:r>
      <w:r w:rsidRPr="002272BF">
        <w:rPr>
          <w:rStyle w:val="FootnoteReference"/>
          <w:rFonts w:asciiTheme="majorBidi" w:hAnsiTheme="majorBidi" w:cstheme="majorBidi"/>
        </w:rPr>
        <w:footnoteReference w:id="28"/>
      </w:r>
    </w:p>
    <w:p w:rsidR="00364180" w:rsidRPr="002272BF" w:rsidRDefault="00364180" w:rsidP="00364180">
      <w:pPr>
        <w:spacing w:after="0" w:line="360" w:lineRule="auto"/>
        <w:ind w:firstLine="567"/>
        <w:jc w:val="both"/>
        <w:rPr>
          <w:rFonts w:asciiTheme="majorBidi" w:hAnsiTheme="majorBidi" w:cstheme="majorBidi"/>
          <w:sz w:val="24"/>
          <w:szCs w:val="24"/>
        </w:rPr>
      </w:pPr>
      <w:r w:rsidRPr="002272BF">
        <w:rPr>
          <w:rFonts w:asciiTheme="majorBidi" w:hAnsiTheme="majorBidi" w:cstheme="majorBidi"/>
          <w:sz w:val="24"/>
          <w:szCs w:val="24"/>
        </w:rPr>
        <w:t>Prinsip-prinsip tersebut jika ditelaah lebih dalam menunjukkan bahwa Tuhan menganugerahkan hasrat seks pada manusia sebagai upaya dalam melestarikan generasi manusia yang dibingkai dengan nilai-nilai keislaman dalam konteks tauhid, ibadah dan akhlak.</w:t>
      </w:r>
    </w:p>
    <w:p w:rsidR="00364180" w:rsidRPr="002272BF" w:rsidRDefault="00364180" w:rsidP="00364180">
      <w:pPr>
        <w:spacing w:after="0" w:line="360" w:lineRule="auto"/>
        <w:ind w:firstLine="567"/>
        <w:jc w:val="both"/>
        <w:rPr>
          <w:rFonts w:asciiTheme="majorBidi" w:hAnsiTheme="majorBidi" w:cstheme="majorBidi"/>
          <w:sz w:val="24"/>
          <w:szCs w:val="24"/>
        </w:rPr>
      </w:pPr>
    </w:p>
    <w:p w:rsidR="00364180" w:rsidRPr="002272BF" w:rsidRDefault="00364180" w:rsidP="00364180">
      <w:pPr>
        <w:spacing w:after="0" w:line="360" w:lineRule="auto"/>
        <w:jc w:val="both"/>
        <w:rPr>
          <w:rFonts w:asciiTheme="majorBidi" w:hAnsiTheme="majorBidi" w:cstheme="majorBidi"/>
          <w:b/>
          <w:bCs/>
          <w:sz w:val="24"/>
          <w:szCs w:val="24"/>
        </w:rPr>
      </w:pPr>
      <w:r w:rsidRPr="002272BF">
        <w:rPr>
          <w:rFonts w:asciiTheme="majorBidi" w:hAnsiTheme="majorBidi" w:cstheme="majorBidi"/>
          <w:b/>
          <w:bCs/>
          <w:sz w:val="24"/>
          <w:szCs w:val="24"/>
        </w:rPr>
        <w:t>Tujuan Pendidikan Seks Pada Remaja</w:t>
      </w:r>
    </w:p>
    <w:p w:rsidR="00364180" w:rsidRPr="002272BF" w:rsidRDefault="00364180" w:rsidP="00364180">
      <w:pPr>
        <w:spacing w:after="0" w:line="360" w:lineRule="auto"/>
        <w:ind w:firstLine="567"/>
        <w:jc w:val="both"/>
        <w:rPr>
          <w:rFonts w:asciiTheme="majorBidi" w:hAnsiTheme="majorBidi" w:cstheme="majorBidi"/>
          <w:sz w:val="24"/>
          <w:szCs w:val="24"/>
        </w:rPr>
      </w:pPr>
      <w:r w:rsidRPr="002272BF">
        <w:rPr>
          <w:rFonts w:asciiTheme="majorBidi" w:hAnsiTheme="majorBidi" w:cstheme="majorBidi"/>
          <w:sz w:val="24"/>
          <w:szCs w:val="24"/>
        </w:rPr>
        <w:t xml:space="preserve">Pendidikan seks tidak hanya terkait dengan urusan seksual semata. Pendidikan seks memiliki arah maupun tujuan. Ada berbagai tujuan yang diberikan para ahli terkait </w:t>
      </w:r>
      <w:r w:rsidRPr="002272BF">
        <w:rPr>
          <w:rFonts w:asciiTheme="majorBidi" w:hAnsiTheme="majorBidi" w:cstheme="majorBidi"/>
          <w:sz w:val="24"/>
          <w:szCs w:val="24"/>
        </w:rPr>
        <w:lastRenderedPageBreak/>
        <w:t>pendidikan seks bagi remaja itu sendiri baik ditinjau dari sudut pandang Islam maupun perspektif lain (Barat). Tujuan pendidikan seks di antaranya</w:t>
      </w:r>
    </w:p>
    <w:p w:rsidR="00364180" w:rsidRPr="002272BF" w:rsidRDefault="00364180" w:rsidP="00364180">
      <w:pPr>
        <w:pStyle w:val="ListParagraph"/>
        <w:widowControl/>
        <w:numPr>
          <w:ilvl w:val="0"/>
          <w:numId w:val="1"/>
        </w:numPr>
        <w:suppressAutoHyphens w:val="0"/>
        <w:spacing w:line="360" w:lineRule="auto"/>
        <w:ind w:left="426" w:hanging="426"/>
        <w:contextualSpacing/>
        <w:jc w:val="both"/>
        <w:rPr>
          <w:rFonts w:asciiTheme="majorBidi" w:hAnsiTheme="majorBidi" w:cstheme="majorBidi"/>
        </w:rPr>
      </w:pPr>
      <w:r w:rsidRPr="002272BF">
        <w:rPr>
          <w:rFonts w:asciiTheme="majorBidi" w:hAnsiTheme="majorBidi" w:cstheme="majorBidi"/>
        </w:rPr>
        <w:t>Memberikan pengertian yang memadai mengenai perubahan fisik, mental dan proses kematangan emosional yang berkaitan dengan masalah seksual pada remaja.</w:t>
      </w:r>
    </w:p>
    <w:p w:rsidR="00364180" w:rsidRPr="002272BF" w:rsidRDefault="00364180" w:rsidP="00364180">
      <w:pPr>
        <w:pStyle w:val="ListParagraph"/>
        <w:widowControl/>
        <w:numPr>
          <w:ilvl w:val="0"/>
          <w:numId w:val="1"/>
        </w:numPr>
        <w:suppressAutoHyphens w:val="0"/>
        <w:spacing w:line="360" w:lineRule="auto"/>
        <w:ind w:left="426" w:hanging="426"/>
        <w:contextualSpacing/>
        <w:jc w:val="both"/>
        <w:rPr>
          <w:rFonts w:asciiTheme="majorBidi" w:hAnsiTheme="majorBidi" w:cstheme="majorBidi"/>
        </w:rPr>
      </w:pPr>
      <w:r w:rsidRPr="002272BF">
        <w:rPr>
          <w:rFonts w:asciiTheme="majorBidi" w:hAnsiTheme="majorBidi" w:cstheme="majorBidi"/>
        </w:rPr>
        <w:t>Mengurangi ketakutan dan kecemasan sehubungan dengan perkembangan dan penyesuaian seksual (peran, tuntutan dan tanggung jawab).</w:t>
      </w:r>
    </w:p>
    <w:p w:rsidR="00364180" w:rsidRPr="002272BF" w:rsidRDefault="00364180" w:rsidP="00364180">
      <w:pPr>
        <w:pStyle w:val="ListParagraph"/>
        <w:widowControl/>
        <w:numPr>
          <w:ilvl w:val="0"/>
          <w:numId w:val="1"/>
        </w:numPr>
        <w:suppressAutoHyphens w:val="0"/>
        <w:spacing w:line="360" w:lineRule="auto"/>
        <w:ind w:left="426" w:hanging="426"/>
        <w:contextualSpacing/>
        <w:jc w:val="both"/>
        <w:rPr>
          <w:rFonts w:asciiTheme="majorBidi" w:hAnsiTheme="majorBidi" w:cstheme="majorBidi"/>
        </w:rPr>
      </w:pPr>
      <w:r w:rsidRPr="002272BF">
        <w:rPr>
          <w:rFonts w:asciiTheme="majorBidi" w:hAnsiTheme="majorBidi" w:cstheme="majorBidi"/>
        </w:rPr>
        <w:t>Membentuk sikap dan memberikan pengertian terhadap seks dalam semua manifestasi yang bervariasi.</w:t>
      </w:r>
    </w:p>
    <w:p w:rsidR="00364180" w:rsidRPr="002272BF" w:rsidRDefault="00364180" w:rsidP="00364180">
      <w:pPr>
        <w:pStyle w:val="ListParagraph"/>
        <w:widowControl/>
        <w:numPr>
          <w:ilvl w:val="0"/>
          <w:numId w:val="1"/>
        </w:numPr>
        <w:suppressAutoHyphens w:val="0"/>
        <w:spacing w:line="360" w:lineRule="auto"/>
        <w:ind w:left="426" w:hanging="426"/>
        <w:contextualSpacing/>
        <w:jc w:val="both"/>
        <w:rPr>
          <w:rFonts w:asciiTheme="majorBidi" w:hAnsiTheme="majorBidi" w:cstheme="majorBidi"/>
        </w:rPr>
      </w:pPr>
      <w:r w:rsidRPr="002272BF">
        <w:rPr>
          <w:rFonts w:asciiTheme="majorBidi" w:hAnsiTheme="majorBidi" w:cstheme="majorBidi"/>
        </w:rPr>
        <w:t>Memberikan pengertian bahwa hubungan antara manusia dapat membawa kepuasan pada kedua individu dan keheidupan keluarga.</w:t>
      </w:r>
    </w:p>
    <w:p w:rsidR="00364180" w:rsidRPr="002272BF" w:rsidRDefault="00364180" w:rsidP="00364180">
      <w:pPr>
        <w:pStyle w:val="ListParagraph"/>
        <w:widowControl/>
        <w:numPr>
          <w:ilvl w:val="0"/>
          <w:numId w:val="1"/>
        </w:numPr>
        <w:suppressAutoHyphens w:val="0"/>
        <w:spacing w:line="360" w:lineRule="auto"/>
        <w:ind w:left="426" w:hanging="426"/>
        <w:contextualSpacing/>
        <w:jc w:val="both"/>
        <w:rPr>
          <w:rFonts w:asciiTheme="majorBidi" w:hAnsiTheme="majorBidi" w:cstheme="majorBidi"/>
        </w:rPr>
      </w:pPr>
      <w:r w:rsidRPr="002272BF">
        <w:rPr>
          <w:rFonts w:asciiTheme="majorBidi" w:hAnsiTheme="majorBidi" w:cstheme="majorBidi"/>
        </w:rPr>
        <w:t>Memberikan pengertian mengenai kebutuhan nilai moral yang esensial untuk memberikan dasar yang rasional dalam membuat keputusan berhubungan perilaku seksual.</w:t>
      </w:r>
    </w:p>
    <w:p w:rsidR="00364180" w:rsidRPr="002272BF" w:rsidRDefault="00364180" w:rsidP="00364180">
      <w:pPr>
        <w:pStyle w:val="ListParagraph"/>
        <w:widowControl/>
        <w:numPr>
          <w:ilvl w:val="0"/>
          <w:numId w:val="1"/>
        </w:numPr>
        <w:suppressAutoHyphens w:val="0"/>
        <w:spacing w:line="360" w:lineRule="auto"/>
        <w:ind w:left="426" w:hanging="426"/>
        <w:contextualSpacing/>
        <w:jc w:val="both"/>
        <w:rPr>
          <w:rFonts w:asciiTheme="majorBidi" w:hAnsiTheme="majorBidi" w:cstheme="majorBidi"/>
        </w:rPr>
      </w:pPr>
      <w:r w:rsidRPr="002272BF">
        <w:rPr>
          <w:rFonts w:asciiTheme="majorBidi" w:hAnsiTheme="majorBidi" w:cstheme="majorBidi"/>
        </w:rPr>
        <w:t>Memberikan pengetahuan tentang kesalahan dan penyimpangan seksual agar individu dapat menjaga diri dan melawan eksploitasi yang dapat mengganggu kesehatan fisik di dalamnya.</w:t>
      </w:r>
    </w:p>
    <w:p w:rsidR="00364180" w:rsidRPr="002272BF" w:rsidRDefault="00364180" w:rsidP="00364180">
      <w:pPr>
        <w:pStyle w:val="ListParagraph"/>
        <w:widowControl/>
        <w:numPr>
          <w:ilvl w:val="0"/>
          <w:numId w:val="1"/>
        </w:numPr>
        <w:suppressAutoHyphens w:val="0"/>
        <w:spacing w:line="360" w:lineRule="auto"/>
        <w:ind w:left="426" w:hanging="426"/>
        <w:contextualSpacing/>
        <w:jc w:val="both"/>
        <w:rPr>
          <w:rFonts w:asciiTheme="majorBidi" w:hAnsiTheme="majorBidi" w:cstheme="majorBidi"/>
        </w:rPr>
      </w:pPr>
      <w:r w:rsidRPr="002272BF">
        <w:rPr>
          <w:rFonts w:asciiTheme="majorBidi" w:hAnsiTheme="majorBidi" w:cstheme="majorBidi"/>
        </w:rPr>
        <w:t>Untuk mengurangi prostitusi, ketakutan terhadap seksual yang tidak rasional dan eksploitasi seks yang berlebihan.</w:t>
      </w:r>
    </w:p>
    <w:p w:rsidR="00364180" w:rsidRPr="002272BF" w:rsidRDefault="00364180" w:rsidP="00364180">
      <w:pPr>
        <w:pStyle w:val="ListParagraph"/>
        <w:widowControl/>
        <w:numPr>
          <w:ilvl w:val="0"/>
          <w:numId w:val="1"/>
        </w:numPr>
        <w:suppressAutoHyphens w:val="0"/>
        <w:spacing w:line="360" w:lineRule="auto"/>
        <w:ind w:left="426" w:hanging="426"/>
        <w:contextualSpacing/>
        <w:jc w:val="both"/>
        <w:rPr>
          <w:rFonts w:asciiTheme="majorBidi" w:hAnsiTheme="majorBidi" w:cstheme="majorBidi"/>
        </w:rPr>
      </w:pPr>
      <w:r w:rsidRPr="002272BF">
        <w:rPr>
          <w:rFonts w:asciiTheme="majorBidi" w:hAnsiTheme="majorBidi" w:cstheme="majorBidi"/>
        </w:rPr>
        <w:t>Memberikan pengertian dan kondisi yang dapat membuat individu melakukan aktivitas seksual secara efektif dan kreatif dalam berbagai peran.</w:t>
      </w:r>
      <w:r w:rsidRPr="002272BF">
        <w:rPr>
          <w:rStyle w:val="FootnoteReference"/>
          <w:rFonts w:asciiTheme="majorBidi" w:hAnsiTheme="majorBidi" w:cstheme="majorBidi"/>
        </w:rPr>
        <w:footnoteReference w:id="29"/>
      </w:r>
    </w:p>
    <w:p w:rsidR="00364180" w:rsidRPr="002272BF" w:rsidRDefault="00364180" w:rsidP="00364180">
      <w:pPr>
        <w:pStyle w:val="ListParagraph"/>
        <w:spacing w:line="360" w:lineRule="auto"/>
        <w:ind w:left="0" w:firstLine="567"/>
        <w:jc w:val="both"/>
        <w:rPr>
          <w:rFonts w:asciiTheme="majorBidi" w:hAnsiTheme="majorBidi" w:cstheme="majorBidi"/>
        </w:rPr>
      </w:pPr>
      <w:r w:rsidRPr="002272BF">
        <w:rPr>
          <w:rFonts w:asciiTheme="majorBidi" w:hAnsiTheme="majorBidi" w:cstheme="majorBidi"/>
        </w:rPr>
        <w:t>Tujuan lain dari pendidikan seks bagi remaja menurut Islam yang disampaikan Utsman ath-Thawiil adalah</w:t>
      </w:r>
    </w:p>
    <w:p w:rsidR="00364180" w:rsidRPr="002272BF" w:rsidRDefault="00364180" w:rsidP="00364180">
      <w:pPr>
        <w:pStyle w:val="ListParagraph"/>
        <w:widowControl/>
        <w:numPr>
          <w:ilvl w:val="0"/>
          <w:numId w:val="11"/>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Memberikan informasi yang benar dan memadai kepada generasi muda muslim sesuai dengan kebutuhannya ketika memasuki usia balig.</w:t>
      </w:r>
    </w:p>
    <w:p w:rsidR="00364180" w:rsidRPr="002272BF" w:rsidRDefault="00364180" w:rsidP="00364180">
      <w:pPr>
        <w:pStyle w:val="ListParagraph"/>
        <w:widowControl/>
        <w:numPr>
          <w:ilvl w:val="0"/>
          <w:numId w:val="11"/>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Memberikan peringatan kepada anak-anak muslim tentang rencana busuk Yahudi beserta antek-anteknya.</w:t>
      </w:r>
    </w:p>
    <w:p w:rsidR="00364180" w:rsidRPr="002272BF" w:rsidRDefault="00364180" w:rsidP="00364180">
      <w:pPr>
        <w:pStyle w:val="ListParagraph"/>
        <w:widowControl/>
        <w:numPr>
          <w:ilvl w:val="0"/>
          <w:numId w:val="11"/>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Menjauhkan generasi muda muslim dari jurang kenistaan dan lembah kemesuman.</w:t>
      </w:r>
    </w:p>
    <w:p w:rsidR="00364180" w:rsidRPr="002272BF" w:rsidRDefault="00364180" w:rsidP="00364180">
      <w:pPr>
        <w:pStyle w:val="ListParagraph"/>
        <w:widowControl/>
        <w:numPr>
          <w:ilvl w:val="0"/>
          <w:numId w:val="11"/>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Mengatasi problematika seksual pada remaja melalui perspektif Islam yang jauh dari hal-hal yang dapat menimbulkan rangsangan seksual.</w:t>
      </w:r>
    </w:p>
    <w:p w:rsidR="00364180" w:rsidRPr="002272BF" w:rsidRDefault="00364180" w:rsidP="00364180">
      <w:pPr>
        <w:pStyle w:val="ListParagraph"/>
        <w:widowControl/>
        <w:numPr>
          <w:ilvl w:val="0"/>
          <w:numId w:val="11"/>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Menjauhkan generasi muda muslim dari teori serta kebohongan yang sengaja disebarkan oleh agen-agen Yahudi.</w:t>
      </w:r>
    </w:p>
    <w:p w:rsidR="00364180" w:rsidRPr="002272BF" w:rsidRDefault="00364180" w:rsidP="00364180">
      <w:pPr>
        <w:pStyle w:val="ListParagraph"/>
        <w:widowControl/>
        <w:numPr>
          <w:ilvl w:val="0"/>
          <w:numId w:val="11"/>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lastRenderedPageBreak/>
        <w:t>Menampilkan keuniversalan, kesempurnaan, relevansi dan keampuhan Islam dalam mengatasi problematika yang dihadapi umat manusia di manapun dan kapanpun.</w:t>
      </w:r>
    </w:p>
    <w:p w:rsidR="00364180" w:rsidRPr="002272BF" w:rsidRDefault="00364180" w:rsidP="00364180">
      <w:pPr>
        <w:pStyle w:val="ListParagraph"/>
        <w:widowControl/>
        <w:numPr>
          <w:ilvl w:val="0"/>
          <w:numId w:val="11"/>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Memperkokoh metode Islam dalam memelihara kemuliaan diri sehingga generasi muda muslim diharapkan mampu menjelma seperti akhlak para nabi dan seperti kesucian para malaikat dan seperti para pendahulu yang saleh dalam memelihara kesucian.</w:t>
      </w:r>
    </w:p>
    <w:p w:rsidR="00364180" w:rsidRPr="002272BF" w:rsidRDefault="00364180" w:rsidP="00364180">
      <w:pPr>
        <w:pStyle w:val="ListParagraph"/>
        <w:widowControl/>
        <w:numPr>
          <w:ilvl w:val="0"/>
          <w:numId w:val="11"/>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Agar pemuda-pemudi Islam dapat mengerti serta mampu membedakan yang dihalalkan dan yang diharamkan yang berkaitan dengan hubungan seksual.</w:t>
      </w:r>
      <w:r w:rsidRPr="002272BF">
        <w:rPr>
          <w:rStyle w:val="FootnoteReference"/>
          <w:rFonts w:asciiTheme="majorBidi" w:hAnsiTheme="majorBidi" w:cstheme="majorBidi"/>
        </w:rPr>
        <w:footnoteReference w:id="30"/>
      </w:r>
    </w:p>
    <w:p w:rsidR="00364180" w:rsidRPr="002272BF" w:rsidRDefault="00364180" w:rsidP="00364180">
      <w:pPr>
        <w:pStyle w:val="ListParagraph"/>
        <w:spacing w:line="360" w:lineRule="auto"/>
        <w:ind w:left="0" w:firstLine="567"/>
        <w:jc w:val="both"/>
        <w:rPr>
          <w:rFonts w:asciiTheme="majorBidi" w:hAnsiTheme="majorBidi" w:cstheme="majorBidi"/>
        </w:rPr>
      </w:pPr>
      <w:r w:rsidRPr="002272BF">
        <w:rPr>
          <w:rFonts w:asciiTheme="majorBidi" w:hAnsiTheme="majorBidi" w:cstheme="majorBidi"/>
        </w:rPr>
        <w:t>Dari perspketif lain tujuan pendidikan seks bagi remaja di sekolah di antaranya</w:t>
      </w:r>
    </w:p>
    <w:p w:rsidR="00364180" w:rsidRPr="002272BF" w:rsidRDefault="00364180" w:rsidP="00364180">
      <w:pPr>
        <w:pStyle w:val="ListParagraph"/>
        <w:widowControl/>
        <w:numPr>
          <w:ilvl w:val="0"/>
          <w:numId w:val="12"/>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Membantu remaja mengetahui topik-topik biologis, seperti pertumbuhan, pubertas dan kehamilan.</w:t>
      </w:r>
    </w:p>
    <w:p w:rsidR="00364180" w:rsidRPr="002272BF" w:rsidRDefault="00364180" w:rsidP="00364180">
      <w:pPr>
        <w:pStyle w:val="ListParagraph"/>
        <w:widowControl/>
        <w:numPr>
          <w:ilvl w:val="0"/>
          <w:numId w:val="12"/>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Mencegah anak-anak dari tindakan yang mengeskpresikan penyimpangan.</w:t>
      </w:r>
    </w:p>
    <w:p w:rsidR="00364180" w:rsidRPr="002272BF" w:rsidRDefault="00364180" w:rsidP="00364180">
      <w:pPr>
        <w:pStyle w:val="ListParagraph"/>
        <w:widowControl/>
        <w:numPr>
          <w:ilvl w:val="0"/>
          <w:numId w:val="12"/>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Mengurangi kesalahan, keadaan yang memalukan dan menggelisahkan akibat tindakan seksual.</w:t>
      </w:r>
    </w:p>
    <w:p w:rsidR="00364180" w:rsidRPr="002272BF" w:rsidRDefault="00364180" w:rsidP="00364180">
      <w:pPr>
        <w:pStyle w:val="ListParagraph"/>
        <w:widowControl/>
        <w:numPr>
          <w:ilvl w:val="0"/>
          <w:numId w:val="12"/>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Mendorong menjalin persahabatan yang baik.</w:t>
      </w:r>
    </w:p>
    <w:p w:rsidR="00364180" w:rsidRPr="002272BF" w:rsidRDefault="00364180" w:rsidP="00364180">
      <w:pPr>
        <w:pStyle w:val="ListParagraph"/>
        <w:widowControl/>
        <w:numPr>
          <w:ilvl w:val="0"/>
          <w:numId w:val="12"/>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Mengembangkan persahabatan yang baik dan saling menghormati perbedaan antara sesama.</w:t>
      </w:r>
    </w:p>
    <w:p w:rsidR="00364180" w:rsidRPr="002272BF" w:rsidRDefault="00364180" w:rsidP="00364180">
      <w:pPr>
        <w:pStyle w:val="ListParagraph"/>
        <w:widowControl/>
        <w:numPr>
          <w:ilvl w:val="0"/>
          <w:numId w:val="12"/>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Mencegah anak-anak di bawah umur dari hal-hal yang memikat hati dalam persoalan hubungan seksual.</w:t>
      </w:r>
    </w:p>
    <w:p w:rsidR="00364180" w:rsidRPr="002272BF" w:rsidRDefault="00364180" w:rsidP="00364180">
      <w:pPr>
        <w:pStyle w:val="ListParagraph"/>
        <w:widowControl/>
        <w:numPr>
          <w:ilvl w:val="0"/>
          <w:numId w:val="12"/>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Mencegah kehamilan pada anak-anak gadis di bawah umur belasan tahun.</w:t>
      </w:r>
    </w:p>
    <w:p w:rsidR="00364180" w:rsidRPr="002272BF" w:rsidRDefault="00364180" w:rsidP="00364180">
      <w:pPr>
        <w:pStyle w:val="ListParagraph"/>
        <w:widowControl/>
        <w:numPr>
          <w:ilvl w:val="0"/>
          <w:numId w:val="12"/>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Mengurangi hal-hal yang mengindikasikan penularan penyakit lewat seksual.</w:t>
      </w:r>
    </w:p>
    <w:p w:rsidR="00364180" w:rsidRPr="002272BF" w:rsidRDefault="00364180" w:rsidP="00364180">
      <w:pPr>
        <w:pStyle w:val="ListParagraph"/>
        <w:widowControl/>
        <w:numPr>
          <w:ilvl w:val="0"/>
          <w:numId w:val="12"/>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Membantu peran pemuda sebagai laki-laki dan perempuan di masyarakat.</w:t>
      </w:r>
      <w:r w:rsidRPr="002272BF">
        <w:rPr>
          <w:rStyle w:val="FootnoteReference"/>
          <w:rFonts w:asciiTheme="majorBidi" w:hAnsiTheme="majorBidi" w:cstheme="majorBidi"/>
        </w:rPr>
        <w:footnoteReference w:id="31"/>
      </w:r>
    </w:p>
    <w:p w:rsidR="00364180" w:rsidRPr="002272BF" w:rsidRDefault="00364180" w:rsidP="00364180">
      <w:pPr>
        <w:spacing w:after="0" w:line="360" w:lineRule="auto"/>
        <w:ind w:firstLine="567"/>
        <w:jc w:val="both"/>
        <w:rPr>
          <w:rFonts w:asciiTheme="majorBidi" w:hAnsiTheme="majorBidi" w:cstheme="majorBidi"/>
          <w:sz w:val="24"/>
          <w:szCs w:val="24"/>
        </w:rPr>
      </w:pPr>
      <w:r w:rsidRPr="002272BF">
        <w:rPr>
          <w:rFonts w:asciiTheme="majorBidi" w:hAnsiTheme="majorBidi" w:cstheme="majorBidi"/>
          <w:sz w:val="24"/>
          <w:szCs w:val="24"/>
        </w:rPr>
        <w:t>Beragamnya tujuan pendidikan seks bagi remaja di atas memiliki orientasi yang hampir sama yaitu mengedukasi remaja seputar masalah seksual dan yangterkait serta mengantisipasi remaja dari perilaku penyimpangan seksual. Walaupun demikian, terdapat pula beberapa perbedaan seperti tekanan pada nilai-nilai keislaman yang tidak terdapat dalam perspektif lain (Barat).</w:t>
      </w:r>
    </w:p>
    <w:p w:rsidR="00364180" w:rsidRPr="002272BF" w:rsidRDefault="00364180" w:rsidP="00364180">
      <w:pPr>
        <w:spacing w:after="0" w:line="360" w:lineRule="auto"/>
        <w:ind w:firstLine="567"/>
        <w:jc w:val="both"/>
        <w:rPr>
          <w:rFonts w:asciiTheme="majorBidi" w:hAnsiTheme="majorBidi" w:cstheme="majorBidi"/>
          <w:sz w:val="24"/>
          <w:szCs w:val="24"/>
        </w:rPr>
      </w:pPr>
    </w:p>
    <w:p w:rsidR="00364180" w:rsidRPr="002272BF" w:rsidRDefault="00364180" w:rsidP="00364180">
      <w:pPr>
        <w:spacing w:after="0" w:line="360" w:lineRule="auto"/>
        <w:jc w:val="both"/>
        <w:rPr>
          <w:rFonts w:asciiTheme="majorBidi" w:hAnsiTheme="majorBidi" w:cstheme="majorBidi"/>
          <w:b/>
          <w:bCs/>
          <w:sz w:val="24"/>
          <w:szCs w:val="24"/>
        </w:rPr>
      </w:pPr>
      <w:r w:rsidRPr="002272BF">
        <w:rPr>
          <w:rFonts w:asciiTheme="majorBidi" w:hAnsiTheme="majorBidi" w:cstheme="majorBidi"/>
          <w:b/>
          <w:bCs/>
          <w:sz w:val="24"/>
          <w:szCs w:val="24"/>
        </w:rPr>
        <w:t>Kurikulum Pendidikan Seks Pada Remaja</w:t>
      </w:r>
    </w:p>
    <w:p w:rsidR="00364180" w:rsidRPr="002272BF" w:rsidRDefault="00364180" w:rsidP="00364180">
      <w:pPr>
        <w:pStyle w:val="ListParagraph"/>
        <w:spacing w:line="360" w:lineRule="auto"/>
        <w:ind w:left="0" w:firstLine="567"/>
        <w:jc w:val="both"/>
        <w:rPr>
          <w:rFonts w:asciiTheme="majorBidi" w:hAnsiTheme="majorBidi" w:cstheme="majorBidi"/>
        </w:rPr>
      </w:pPr>
      <w:r w:rsidRPr="002272BF">
        <w:rPr>
          <w:rFonts w:asciiTheme="majorBidi" w:hAnsiTheme="majorBidi" w:cstheme="majorBidi"/>
        </w:rPr>
        <w:t xml:space="preserve">Pendidikan seks dalam Islam adalah satu paket dengan pendidikan nilai lainnya. Pemisahan seks dari pesan-pesan Islam akan berdampak pada hilangnya sasaran yang hendak </w:t>
      </w:r>
      <w:r w:rsidRPr="002272BF">
        <w:rPr>
          <w:rFonts w:asciiTheme="majorBidi" w:hAnsiTheme="majorBidi" w:cstheme="majorBidi"/>
        </w:rPr>
        <w:lastRenderedPageBreak/>
        <w:t>dicapai dalam pembinaan moral Islam.</w:t>
      </w:r>
      <w:r w:rsidRPr="002272BF">
        <w:rPr>
          <w:rStyle w:val="FootnoteReference"/>
          <w:rFonts w:asciiTheme="majorBidi" w:hAnsiTheme="majorBidi" w:cstheme="majorBidi"/>
        </w:rPr>
        <w:footnoteReference w:id="32"/>
      </w:r>
      <w:r w:rsidRPr="002272BF">
        <w:rPr>
          <w:rFonts w:asciiTheme="majorBidi" w:hAnsiTheme="majorBidi" w:cstheme="majorBidi"/>
        </w:rPr>
        <w:t xml:space="preserve"> Dalam pendidikan seks, Islam mengutamakan pendidikn rohaniah, moral, etika sejak bayi dengan meletakkan dasar iman kepada Allah. Sementara pengetahuan tentang anatomi, fisiologi dan psikologi dapat ditambahkan sebagai pelengkap sesuai dengan jenjang pendidikan dan usia. Sebaliknya pendidikan seks yang dimulai dengan pengetahuan anatomi, fisiologi dan psikologi akan mudah merangsang daripada menahan nafsu seks.</w:t>
      </w:r>
      <w:r w:rsidRPr="002272BF">
        <w:rPr>
          <w:rStyle w:val="FootnoteReference"/>
          <w:rFonts w:asciiTheme="majorBidi" w:hAnsiTheme="majorBidi" w:cstheme="majorBidi"/>
        </w:rPr>
        <w:footnoteReference w:id="33"/>
      </w:r>
      <w:r w:rsidRPr="002272BF">
        <w:rPr>
          <w:rFonts w:asciiTheme="majorBidi" w:hAnsiTheme="majorBidi" w:cstheme="majorBidi"/>
        </w:rPr>
        <w:t xml:space="preserve"> Oleh karena itu, pendidikan seks bagi remaja dalam Islam harus dibingkai dan diutamakan pada penanaman nilai-nilai keilahian, kemudian dilanjutkan dengan pengetahuan dan  informasi seputar anatomi, fisiologi dan psikologi seksual manusia.</w:t>
      </w:r>
    </w:p>
    <w:p w:rsidR="00364180" w:rsidRPr="002272BF" w:rsidRDefault="00364180" w:rsidP="00364180">
      <w:pPr>
        <w:spacing w:after="0" w:line="360" w:lineRule="auto"/>
        <w:ind w:firstLine="567"/>
        <w:jc w:val="both"/>
        <w:rPr>
          <w:rFonts w:asciiTheme="majorBidi" w:hAnsiTheme="majorBidi" w:cstheme="majorBidi"/>
          <w:sz w:val="24"/>
          <w:szCs w:val="24"/>
        </w:rPr>
      </w:pPr>
      <w:r w:rsidRPr="002272BF">
        <w:rPr>
          <w:rFonts w:asciiTheme="majorBidi" w:hAnsiTheme="majorBidi" w:cstheme="majorBidi"/>
          <w:sz w:val="24"/>
          <w:szCs w:val="24"/>
        </w:rPr>
        <w:t>Dalam pendidikan seks bagi remaja terdapat kurikulum ataupun cakupan materi yang dapat digunakan sebagai bahan kajian. Kurikulum pendidikan seks yang islami menurut Anshari LAL mencakup aspek-aspek berikut</w:t>
      </w:r>
    </w:p>
    <w:p w:rsidR="00364180" w:rsidRPr="002272BF" w:rsidRDefault="00364180" w:rsidP="00364180">
      <w:pPr>
        <w:pStyle w:val="ListParagraph"/>
        <w:widowControl/>
        <w:numPr>
          <w:ilvl w:val="0"/>
          <w:numId w:val="2"/>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Pertumbuhan dan perkembangan seksual:</w:t>
      </w:r>
    </w:p>
    <w:p w:rsidR="00364180" w:rsidRPr="002272BF" w:rsidRDefault="00364180" w:rsidP="00364180">
      <w:pPr>
        <w:pStyle w:val="ListParagraph"/>
        <w:widowControl/>
        <w:numPr>
          <w:ilvl w:val="0"/>
          <w:numId w:val="3"/>
        </w:numPr>
        <w:suppressAutoHyphens w:val="0"/>
        <w:spacing w:line="360" w:lineRule="auto"/>
        <w:ind w:left="567" w:hanging="283"/>
        <w:contextualSpacing/>
        <w:jc w:val="both"/>
        <w:rPr>
          <w:rFonts w:asciiTheme="majorBidi" w:hAnsiTheme="majorBidi" w:cstheme="majorBidi"/>
        </w:rPr>
      </w:pPr>
      <w:r w:rsidRPr="002272BF">
        <w:rPr>
          <w:rFonts w:asciiTheme="majorBidi" w:hAnsiTheme="majorBidi" w:cstheme="majorBidi"/>
        </w:rPr>
        <w:t>Masa tamyiz (masa pra pubertas) yaitu usia antara 7-10 tahun.</w:t>
      </w:r>
    </w:p>
    <w:p w:rsidR="00364180" w:rsidRPr="002272BF" w:rsidRDefault="00364180" w:rsidP="00364180">
      <w:pPr>
        <w:pStyle w:val="ListParagraph"/>
        <w:widowControl/>
        <w:numPr>
          <w:ilvl w:val="0"/>
          <w:numId w:val="3"/>
        </w:numPr>
        <w:suppressAutoHyphens w:val="0"/>
        <w:spacing w:line="360" w:lineRule="auto"/>
        <w:ind w:left="567" w:hanging="283"/>
        <w:contextualSpacing/>
        <w:jc w:val="both"/>
        <w:rPr>
          <w:rFonts w:asciiTheme="majorBidi" w:hAnsiTheme="majorBidi" w:cstheme="majorBidi"/>
        </w:rPr>
      </w:pPr>
      <w:r w:rsidRPr="002272BF">
        <w:rPr>
          <w:rFonts w:asciiTheme="majorBidi" w:hAnsiTheme="majorBidi" w:cstheme="majorBidi"/>
        </w:rPr>
        <w:t>Masa muraqahah (masa peralihan atau pubertas), yaitu usia antara 10-14 tahun.</w:t>
      </w:r>
    </w:p>
    <w:p w:rsidR="00364180" w:rsidRPr="002272BF" w:rsidRDefault="00364180" w:rsidP="00364180">
      <w:pPr>
        <w:pStyle w:val="ListParagraph"/>
        <w:widowControl/>
        <w:numPr>
          <w:ilvl w:val="0"/>
          <w:numId w:val="3"/>
        </w:numPr>
        <w:suppressAutoHyphens w:val="0"/>
        <w:spacing w:line="360" w:lineRule="auto"/>
        <w:ind w:left="567" w:hanging="283"/>
        <w:contextualSpacing/>
        <w:jc w:val="both"/>
        <w:rPr>
          <w:rFonts w:asciiTheme="majorBidi" w:hAnsiTheme="majorBidi" w:cstheme="majorBidi"/>
        </w:rPr>
      </w:pPr>
      <w:r w:rsidRPr="002272BF">
        <w:rPr>
          <w:rFonts w:asciiTheme="majorBidi" w:hAnsiTheme="majorBidi" w:cstheme="majorBidi"/>
        </w:rPr>
        <w:t>Masa baligh (masa adolesen) pada usia 14 tahun-16 tahun.</w:t>
      </w:r>
    </w:p>
    <w:p w:rsidR="00364180" w:rsidRPr="002272BF" w:rsidRDefault="00364180" w:rsidP="00364180">
      <w:pPr>
        <w:pStyle w:val="ListParagraph"/>
        <w:widowControl/>
        <w:numPr>
          <w:ilvl w:val="0"/>
          <w:numId w:val="3"/>
        </w:numPr>
        <w:suppressAutoHyphens w:val="0"/>
        <w:spacing w:line="360" w:lineRule="auto"/>
        <w:ind w:left="567" w:hanging="283"/>
        <w:contextualSpacing/>
        <w:jc w:val="both"/>
        <w:rPr>
          <w:rFonts w:asciiTheme="majorBidi" w:hAnsiTheme="majorBidi" w:cstheme="majorBidi"/>
        </w:rPr>
      </w:pPr>
      <w:r w:rsidRPr="002272BF">
        <w:rPr>
          <w:rFonts w:asciiTheme="majorBidi" w:hAnsiTheme="majorBidi" w:cstheme="majorBidi"/>
        </w:rPr>
        <w:t>Masa pemuda, ditandai dengan perubahan fisik selama masa pubertas dan kebutuhan akan kehidupan keluarga.</w:t>
      </w:r>
    </w:p>
    <w:p w:rsidR="00364180" w:rsidRPr="002272BF" w:rsidRDefault="00364180" w:rsidP="00364180">
      <w:pPr>
        <w:pStyle w:val="ListParagraph"/>
        <w:widowControl/>
        <w:numPr>
          <w:ilvl w:val="0"/>
          <w:numId w:val="2"/>
        </w:numPr>
        <w:suppressAutoHyphens w:val="0"/>
        <w:spacing w:line="360" w:lineRule="auto"/>
        <w:ind w:left="284" w:hanging="284"/>
        <w:contextualSpacing/>
        <w:jc w:val="both"/>
        <w:rPr>
          <w:rFonts w:asciiTheme="majorBidi" w:hAnsiTheme="majorBidi" w:cstheme="majorBidi"/>
          <w:b/>
          <w:bCs/>
        </w:rPr>
      </w:pPr>
      <w:r w:rsidRPr="002272BF">
        <w:rPr>
          <w:rFonts w:asciiTheme="majorBidi" w:hAnsiTheme="majorBidi" w:cstheme="majorBidi"/>
        </w:rPr>
        <w:t>Fisiologi dari sistem reproduksi.</w:t>
      </w:r>
    </w:p>
    <w:p w:rsidR="00364180" w:rsidRPr="002272BF" w:rsidRDefault="00364180" w:rsidP="00364180">
      <w:pPr>
        <w:pStyle w:val="ListParagraph"/>
        <w:widowControl/>
        <w:numPr>
          <w:ilvl w:val="0"/>
          <w:numId w:val="2"/>
        </w:numPr>
        <w:suppressAutoHyphens w:val="0"/>
        <w:spacing w:line="360" w:lineRule="auto"/>
        <w:ind w:left="284" w:hanging="284"/>
        <w:contextualSpacing/>
        <w:jc w:val="both"/>
        <w:rPr>
          <w:rFonts w:asciiTheme="majorBidi" w:hAnsiTheme="majorBidi" w:cstheme="majorBidi"/>
          <w:b/>
          <w:bCs/>
        </w:rPr>
      </w:pPr>
      <w:r w:rsidRPr="002272BF">
        <w:rPr>
          <w:rFonts w:asciiTheme="majorBidi" w:hAnsiTheme="majorBidi" w:cstheme="majorBidi"/>
        </w:rPr>
        <w:t>Kehamilan dan kelahiran.</w:t>
      </w:r>
    </w:p>
    <w:p w:rsidR="00364180" w:rsidRPr="002272BF" w:rsidRDefault="00364180" w:rsidP="00364180">
      <w:pPr>
        <w:pStyle w:val="ListParagraph"/>
        <w:widowControl/>
        <w:numPr>
          <w:ilvl w:val="0"/>
          <w:numId w:val="2"/>
        </w:numPr>
        <w:suppressAutoHyphens w:val="0"/>
        <w:spacing w:line="360" w:lineRule="auto"/>
        <w:ind w:left="284" w:hanging="284"/>
        <w:contextualSpacing/>
        <w:jc w:val="both"/>
        <w:rPr>
          <w:rFonts w:asciiTheme="majorBidi" w:hAnsiTheme="majorBidi" w:cstheme="majorBidi"/>
          <w:b/>
          <w:bCs/>
        </w:rPr>
      </w:pPr>
      <w:r w:rsidRPr="002272BF">
        <w:rPr>
          <w:rFonts w:asciiTheme="majorBidi" w:hAnsiTheme="majorBidi" w:cstheme="majorBidi"/>
        </w:rPr>
        <w:t>Penyakit-penyakit kelamin (HIV/AIDS).</w:t>
      </w:r>
    </w:p>
    <w:p w:rsidR="00364180" w:rsidRPr="002272BF" w:rsidRDefault="00364180" w:rsidP="00364180">
      <w:pPr>
        <w:pStyle w:val="ListParagraph"/>
        <w:widowControl/>
        <w:numPr>
          <w:ilvl w:val="0"/>
          <w:numId w:val="2"/>
        </w:numPr>
        <w:suppressAutoHyphens w:val="0"/>
        <w:spacing w:line="360" w:lineRule="auto"/>
        <w:ind w:left="284" w:hanging="284"/>
        <w:contextualSpacing/>
        <w:jc w:val="both"/>
        <w:rPr>
          <w:rFonts w:asciiTheme="majorBidi" w:hAnsiTheme="majorBidi" w:cstheme="majorBidi"/>
          <w:b/>
          <w:bCs/>
        </w:rPr>
      </w:pPr>
      <w:r w:rsidRPr="002272BF">
        <w:rPr>
          <w:rFonts w:asciiTheme="majorBidi" w:hAnsiTheme="majorBidi" w:cstheme="majorBidi"/>
        </w:rPr>
        <w:t>Aspek mental, emosi dan sosial pada masa pubertas.</w:t>
      </w:r>
    </w:p>
    <w:p w:rsidR="00364180" w:rsidRPr="002272BF" w:rsidRDefault="00364180" w:rsidP="00364180">
      <w:pPr>
        <w:pStyle w:val="ListParagraph"/>
        <w:widowControl/>
        <w:numPr>
          <w:ilvl w:val="0"/>
          <w:numId w:val="2"/>
        </w:numPr>
        <w:suppressAutoHyphens w:val="0"/>
        <w:spacing w:line="360" w:lineRule="auto"/>
        <w:ind w:left="284" w:hanging="284"/>
        <w:contextualSpacing/>
        <w:jc w:val="both"/>
        <w:rPr>
          <w:rFonts w:asciiTheme="majorBidi" w:hAnsiTheme="majorBidi" w:cstheme="majorBidi"/>
          <w:b/>
          <w:bCs/>
        </w:rPr>
      </w:pPr>
      <w:r w:rsidRPr="002272BF">
        <w:rPr>
          <w:rFonts w:asciiTheme="majorBidi" w:hAnsiTheme="majorBidi" w:cstheme="majorBidi"/>
        </w:rPr>
        <w:t>Etika sosial, moral dan religius pada masa pubertas yang meliputi:</w:t>
      </w:r>
    </w:p>
    <w:p w:rsidR="00364180" w:rsidRPr="002272BF" w:rsidRDefault="00364180" w:rsidP="00364180">
      <w:pPr>
        <w:pStyle w:val="ListParagraph"/>
        <w:widowControl/>
        <w:numPr>
          <w:ilvl w:val="0"/>
          <w:numId w:val="4"/>
        </w:numPr>
        <w:suppressAutoHyphens w:val="0"/>
        <w:spacing w:line="360" w:lineRule="auto"/>
        <w:ind w:left="567" w:hanging="283"/>
        <w:contextualSpacing/>
        <w:jc w:val="both"/>
        <w:rPr>
          <w:rFonts w:asciiTheme="majorBidi" w:hAnsiTheme="majorBidi" w:cstheme="majorBidi"/>
          <w:b/>
          <w:bCs/>
        </w:rPr>
      </w:pPr>
      <w:r w:rsidRPr="002272BF">
        <w:rPr>
          <w:rFonts w:asciiTheme="majorBidi" w:hAnsiTheme="majorBidi" w:cstheme="majorBidi"/>
        </w:rPr>
        <w:t>Menanamkan rasa malu pada anak.</w:t>
      </w:r>
    </w:p>
    <w:p w:rsidR="00364180" w:rsidRPr="002272BF" w:rsidRDefault="00364180" w:rsidP="00364180">
      <w:pPr>
        <w:pStyle w:val="ListParagraph"/>
        <w:widowControl/>
        <w:numPr>
          <w:ilvl w:val="0"/>
          <w:numId w:val="4"/>
        </w:numPr>
        <w:suppressAutoHyphens w:val="0"/>
        <w:spacing w:line="360" w:lineRule="auto"/>
        <w:ind w:left="567" w:hanging="283"/>
        <w:contextualSpacing/>
        <w:jc w:val="both"/>
        <w:rPr>
          <w:rFonts w:asciiTheme="majorBidi" w:hAnsiTheme="majorBidi" w:cstheme="majorBidi"/>
          <w:b/>
          <w:bCs/>
        </w:rPr>
      </w:pPr>
      <w:r w:rsidRPr="002272BF">
        <w:rPr>
          <w:rFonts w:asciiTheme="majorBidi" w:hAnsiTheme="majorBidi" w:cstheme="majorBidi"/>
        </w:rPr>
        <w:t>Menanamkan jiwa maskulinitas pada anak laki-laki dan jiwa feminimitas pada anak perempuan.</w:t>
      </w:r>
    </w:p>
    <w:p w:rsidR="00364180" w:rsidRPr="002272BF" w:rsidRDefault="00364180" w:rsidP="00364180">
      <w:pPr>
        <w:pStyle w:val="ListParagraph"/>
        <w:widowControl/>
        <w:numPr>
          <w:ilvl w:val="0"/>
          <w:numId w:val="4"/>
        </w:numPr>
        <w:suppressAutoHyphens w:val="0"/>
        <w:spacing w:line="360" w:lineRule="auto"/>
        <w:ind w:left="567" w:hanging="283"/>
        <w:contextualSpacing/>
        <w:jc w:val="both"/>
        <w:rPr>
          <w:rFonts w:asciiTheme="majorBidi" w:hAnsiTheme="majorBidi" w:cstheme="majorBidi"/>
          <w:b/>
          <w:bCs/>
        </w:rPr>
      </w:pPr>
      <w:r w:rsidRPr="002272BF">
        <w:rPr>
          <w:rFonts w:asciiTheme="majorBidi" w:hAnsiTheme="majorBidi" w:cstheme="majorBidi"/>
        </w:rPr>
        <w:t>Memisahkan tempat tidur anak ketika berusia 7 tahun (dengan orang tua dan anak yang berlainan jenis).</w:t>
      </w:r>
    </w:p>
    <w:p w:rsidR="00364180" w:rsidRPr="002272BF" w:rsidRDefault="00364180" w:rsidP="00364180">
      <w:pPr>
        <w:pStyle w:val="ListParagraph"/>
        <w:widowControl/>
        <w:numPr>
          <w:ilvl w:val="0"/>
          <w:numId w:val="4"/>
        </w:numPr>
        <w:suppressAutoHyphens w:val="0"/>
        <w:spacing w:line="360" w:lineRule="auto"/>
        <w:ind w:left="567" w:hanging="283"/>
        <w:contextualSpacing/>
        <w:jc w:val="both"/>
        <w:rPr>
          <w:rFonts w:asciiTheme="majorBidi" w:hAnsiTheme="majorBidi" w:cstheme="majorBidi"/>
          <w:b/>
          <w:bCs/>
        </w:rPr>
      </w:pPr>
      <w:r w:rsidRPr="002272BF">
        <w:rPr>
          <w:rFonts w:asciiTheme="majorBidi" w:hAnsiTheme="majorBidi" w:cstheme="majorBidi"/>
        </w:rPr>
        <w:t>Mendidik anak agar senantiasa menjaga kebersihan alat kelaminnya.</w:t>
      </w:r>
    </w:p>
    <w:p w:rsidR="00364180" w:rsidRPr="002272BF" w:rsidRDefault="00364180" w:rsidP="00364180">
      <w:pPr>
        <w:pStyle w:val="ListParagraph"/>
        <w:widowControl/>
        <w:numPr>
          <w:ilvl w:val="0"/>
          <w:numId w:val="4"/>
        </w:numPr>
        <w:suppressAutoHyphens w:val="0"/>
        <w:spacing w:line="360" w:lineRule="auto"/>
        <w:ind w:left="567" w:hanging="283"/>
        <w:contextualSpacing/>
        <w:jc w:val="both"/>
        <w:rPr>
          <w:rFonts w:asciiTheme="majorBidi" w:hAnsiTheme="majorBidi" w:cstheme="majorBidi"/>
          <w:b/>
          <w:bCs/>
        </w:rPr>
      </w:pPr>
      <w:r w:rsidRPr="002272BF">
        <w:rPr>
          <w:rFonts w:asciiTheme="majorBidi" w:hAnsiTheme="majorBidi" w:cstheme="majorBidi"/>
        </w:rPr>
        <w:t>Mengenalkan anak tentang muhrimnya.</w:t>
      </w:r>
    </w:p>
    <w:p w:rsidR="00364180" w:rsidRPr="002272BF" w:rsidRDefault="00364180" w:rsidP="00364180">
      <w:pPr>
        <w:pStyle w:val="ListParagraph"/>
        <w:widowControl/>
        <w:numPr>
          <w:ilvl w:val="0"/>
          <w:numId w:val="4"/>
        </w:numPr>
        <w:suppressAutoHyphens w:val="0"/>
        <w:spacing w:line="360" w:lineRule="auto"/>
        <w:ind w:left="567" w:hanging="283"/>
        <w:contextualSpacing/>
        <w:jc w:val="both"/>
        <w:rPr>
          <w:rFonts w:asciiTheme="majorBidi" w:hAnsiTheme="majorBidi" w:cstheme="majorBidi"/>
          <w:b/>
          <w:bCs/>
        </w:rPr>
      </w:pPr>
      <w:r w:rsidRPr="002272BF">
        <w:rPr>
          <w:rFonts w:asciiTheme="majorBidi" w:hAnsiTheme="majorBidi" w:cstheme="majorBidi"/>
        </w:rPr>
        <w:t>Mendidik anak agar senantiasa menahan pandangannya dari hal yang dapat mengarahkan pada dorongan seksual.</w:t>
      </w:r>
    </w:p>
    <w:p w:rsidR="00364180" w:rsidRPr="002272BF" w:rsidRDefault="00364180" w:rsidP="00364180">
      <w:pPr>
        <w:pStyle w:val="ListParagraph"/>
        <w:widowControl/>
        <w:numPr>
          <w:ilvl w:val="0"/>
          <w:numId w:val="4"/>
        </w:numPr>
        <w:suppressAutoHyphens w:val="0"/>
        <w:spacing w:line="360" w:lineRule="auto"/>
        <w:ind w:left="567" w:hanging="283"/>
        <w:contextualSpacing/>
        <w:jc w:val="both"/>
        <w:rPr>
          <w:rFonts w:asciiTheme="majorBidi" w:hAnsiTheme="majorBidi" w:cstheme="majorBidi"/>
          <w:b/>
          <w:bCs/>
        </w:rPr>
      </w:pPr>
      <w:r w:rsidRPr="002272BF">
        <w:rPr>
          <w:rFonts w:asciiTheme="majorBidi" w:hAnsiTheme="majorBidi" w:cstheme="majorBidi"/>
        </w:rPr>
        <w:lastRenderedPageBreak/>
        <w:t xml:space="preserve">Mendidik anak agar tidak melakukan </w:t>
      </w:r>
      <w:r w:rsidRPr="002272BF">
        <w:rPr>
          <w:rFonts w:asciiTheme="majorBidi" w:hAnsiTheme="majorBidi" w:cstheme="majorBidi"/>
          <w:i/>
          <w:iCs/>
        </w:rPr>
        <w:t xml:space="preserve">ikhtilat </w:t>
      </w:r>
      <w:r w:rsidRPr="002272BF">
        <w:rPr>
          <w:rFonts w:asciiTheme="majorBidi" w:hAnsiTheme="majorBidi" w:cstheme="majorBidi"/>
        </w:rPr>
        <w:t>(bercampurbaurnya laki-laki dan perempuan non-mahram tanpa ada keperluan yang dibolehkan syara’).</w:t>
      </w:r>
    </w:p>
    <w:p w:rsidR="00364180" w:rsidRPr="002272BF" w:rsidRDefault="00364180" w:rsidP="00364180">
      <w:pPr>
        <w:pStyle w:val="ListParagraph"/>
        <w:widowControl/>
        <w:numPr>
          <w:ilvl w:val="0"/>
          <w:numId w:val="4"/>
        </w:numPr>
        <w:suppressAutoHyphens w:val="0"/>
        <w:spacing w:line="360" w:lineRule="auto"/>
        <w:ind w:left="567" w:hanging="283"/>
        <w:contextualSpacing/>
        <w:jc w:val="both"/>
        <w:rPr>
          <w:rFonts w:asciiTheme="majorBidi" w:hAnsiTheme="majorBidi" w:cstheme="majorBidi"/>
          <w:b/>
          <w:bCs/>
        </w:rPr>
      </w:pPr>
      <w:r w:rsidRPr="002272BF">
        <w:rPr>
          <w:rFonts w:asciiTheme="majorBidi" w:hAnsiTheme="majorBidi" w:cstheme="majorBidi"/>
        </w:rPr>
        <w:t xml:space="preserve">Mendidik anak agar tidak melakukan </w:t>
      </w:r>
      <w:r w:rsidRPr="002272BF">
        <w:rPr>
          <w:rFonts w:asciiTheme="majorBidi" w:hAnsiTheme="majorBidi" w:cstheme="majorBidi"/>
          <w:i/>
          <w:iCs/>
        </w:rPr>
        <w:t xml:space="preserve">khalwat </w:t>
      </w:r>
      <w:r w:rsidRPr="002272BF">
        <w:rPr>
          <w:rFonts w:asciiTheme="majorBidi" w:hAnsiTheme="majorBidi" w:cstheme="majorBidi"/>
        </w:rPr>
        <w:t>(berdua-duaan dengan non-mahram).</w:t>
      </w:r>
    </w:p>
    <w:p w:rsidR="00364180" w:rsidRPr="002272BF" w:rsidRDefault="00364180" w:rsidP="00364180">
      <w:pPr>
        <w:pStyle w:val="ListParagraph"/>
        <w:widowControl/>
        <w:numPr>
          <w:ilvl w:val="0"/>
          <w:numId w:val="4"/>
        </w:numPr>
        <w:suppressAutoHyphens w:val="0"/>
        <w:spacing w:line="360" w:lineRule="auto"/>
        <w:ind w:left="567" w:hanging="283"/>
        <w:contextualSpacing/>
        <w:jc w:val="both"/>
        <w:rPr>
          <w:rFonts w:asciiTheme="majorBidi" w:hAnsiTheme="majorBidi" w:cstheme="majorBidi"/>
          <w:b/>
          <w:bCs/>
        </w:rPr>
      </w:pPr>
      <w:r w:rsidRPr="002272BF">
        <w:rPr>
          <w:rFonts w:asciiTheme="majorBidi" w:hAnsiTheme="majorBidi" w:cstheme="majorBidi"/>
        </w:rPr>
        <w:t>Mengajarkan anak etika berpakaian yang menutup aurat.</w:t>
      </w:r>
    </w:p>
    <w:p w:rsidR="00364180" w:rsidRPr="002272BF" w:rsidRDefault="00364180" w:rsidP="00364180">
      <w:pPr>
        <w:pStyle w:val="ListParagraph"/>
        <w:widowControl/>
        <w:numPr>
          <w:ilvl w:val="0"/>
          <w:numId w:val="4"/>
        </w:numPr>
        <w:suppressAutoHyphens w:val="0"/>
        <w:spacing w:line="360" w:lineRule="auto"/>
        <w:ind w:left="567" w:hanging="283"/>
        <w:contextualSpacing/>
        <w:jc w:val="both"/>
        <w:rPr>
          <w:rFonts w:asciiTheme="majorBidi" w:hAnsiTheme="majorBidi" w:cstheme="majorBidi"/>
          <w:b/>
          <w:bCs/>
        </w:rPr>
      </w:pPr>
      <w:r w:rsidRPr="002272BF">
        <w:rPr>
          <w:rFonts w:asciiTheme="majorBidi" w:hAnsiTheme="majorBidi" w:cstheme="majorBidi"/>
        </w:rPr>
        <w:t xml:space="preserve">Mengenalkan </w:t>
      </w:r>
      <w:r w:rsidRPr="002272BF">
        <w:rPr>
          <w:rFonts w:asciiTheme="majorBidi" w:hAnsiTheme="majorBidi" w:cstheme="majorBidi"/>
          <w:i/>
          <w:iCs/>
        </w:rPr>
        <w:t xml:space="preserve">ihtilam </w:t>
      </w:r>
      <w:r w:rsidRPr="002272BF">
        <w:rPr>
          <w:rFonts w:asciiTheme="majorBidi" w:hAnsiTheme="majorBidi" w:cstheme="majorBidi"/>
        </w:rPr>
        <w:t>(mimpi basah) pada anak laki-laki dan haid pada anak perempuan serta kewajiban yang terkait dengannya.</w:t>
      </w:r>
    </w:p>
    <w:p w:rsidR="00364180" w:rsidRPr="002272BF" w:rsidRDefault="00364180" w:rsidP="00364180">
      <w:pPr>
        <w:pStyle w:val="ListParagraph"/>
        <w:widowControl/>
        <w:numPr>
          <w:ilvl w:val="0"/>
          <w:numId w:val="4"/>
        </w:numPr>
        <w:suppressAutoHyphens w:val="0"/>
        <w:spacing w:line="360" w:lineRule="auto"/>
        <w:ind w:left="567" w:hanging="283"/>
        <w:contextualSpacing/>
        <w:jc w:val="both"/>
        <w:rPr>
          <w:rFonts w:asciiTheme="majorBidi" w:hAnsiTheme="majorBidi" w:cstheme="majorBidi"/>
          <w:b/>
          <w:bCs/>
        </w:rPr>
      </w:pPr>
      <w:r w:rsidRPr="002272BF">
        <w:rPr>
          <w:rFonts w:asciiTheme="majorBidi" w:hAnsiTheme="majorBidi" w:cstheme="majorBidi"/>
        </w:rPr>
        <w:t xml:space="preserve">Mendidik anak agar senantiasa </w:t>
      </w:r>
      <w:r w:rsidRPr="002272BF">
        <w:rPr>
          <w:rFonts w:asciiTheme="majorBidi" w:hAnsiTheme="majorBidi" w:cstheme="majorBidi"/>
          <w:i/>
          <w:iCs/>
        </w:rPr>
        <w:t xml:space="preserve">isti’faf </w:t>
      </w:r>
      <w:r w:rsidRPr="002272BF">
        <w:rPr>
          <w:rFonts w:asciiTheme="majorBidi" w:hAnsiTheme="majorBidi" w:cstheme="majorBidi"/>
        </w:rPr>
        <w:t>(menjaga kehormatan diri).</w:t>
      </w:r>
    </w:p>
    <w:p w:rsidR="00364180" w:rsidRPr="002272BF" w:rsidRDefault="00364180" w:rsidP="00364180">
      <w:pPr>
        <w:pStyle w:val="ListParagraph"/>
        <w:widowControl/>
        <w:numPr>
          <w:ilvl w:val="0"/>
          <w:numId w:val="2"/>
        </w:numPr>
        <w:suppressAutoHyphens w:val="0"/>
        <w:spacing w:line="360" w:lineRule="auto"/>
        <w:ind w:left="284" w:hanging="284"/>
        <w:contextualSpacing/>
        <w:jc w:val="both"/>
        <w:rPr>
          <w:rFonts w:asciiTheme="majorBidi" w:hAnsiTheme="majorBidi" w:cstheme="majorBidi"/>
          <w:b/>
          <w:bCs/>
        </w:rPr>
      </w:pPr>
      <w:r w:rsidRPr="002272BF">
        <w:rPr>
          <w:rFonts w:asciiTheme="majorBidi" w:hAnsiTheme="majorBidi" w:cstheme="majorBidi"/>
        </w:rPr>
        <w:t>Mengajarkan cara menghindari pengaruh negatif dari teman.</w:t>
      </w:r>
      <w:r w:rsidRPr="002272BF">
        <w:rPr>
          <w:rStyle w:val="FootnoteReference"/>
          <w:rFonts w:asciiTheme="majorBidi" w:hAnsiTheme="majorBidi" w:cstheme="majorBidi"/>
        </w:rPr>
        <w:footnoteReference w:id="34"/>
      </w:r>
    </w:p>
    <w:p w:rsidR="00364180" w:rsidRDefault="00364180" w:rsidP="00364180">
      <w:pPr>
        <w:spacing w:after="0" w:line="360" w:lineRule="auto"/>
        <w:ind w:firstLine="567"/>
        <w:jc w:val="both"/>
        <w:rPr>
          <w:rFonts w:asciiTheme="majorBidi" w:hAnsiTheme="majorBidi" w:cstheme="majorBidi"/>
          <w:sz w:val="24"/>
          <w:szCs w:val="24"/>
        </w:rPr>
      </w:pPr>
      <w:r w:rsidRPr="002272BF">
        <w:rPr>
          <w:rFonts w:asciiTheme="majorBidi" w:hAnsiTheme="majorBidi" w:cstheme="majorBidi"/>
          <w:sz w:val="24"/>
          <w:szCs w:val="24"/>
        </w:rPr>
        <w:t xml:space="preserve">Kurikulum di atas dapat disampaikan dalam lembaga pendidikan baik dalam cakupan materi dan  subjek pelajaran khusus (tersendiri) maupun terintegrasi dengan pelajaran lain seperti pelajaran agama, ilmu pengetahuan alam, ilmu pengetahuan sosial dan pelajaran terkait. </w:t>
      </w:r>
      <w:r>
        <w:rPr>
          <w:rFonts w:asciiTheme="majorBidi" w:hAnsiTheme="majorBidi" w:cstheme="majorBidi"/>
          <w:sz w:val="24"/>
          <w:szCs w:val="24"/>
        </w:rPr>
        <w:t>Tidak ada metode dan strategi pembelajaran tertentu yang mutlak digunakan dalam pendidikan seks bagi remaja. Namun pada dasarnya remaja membutuhkan ruang berbagi, ekspresi dan apreasiasi. Dari sini pendidik dapat berkaca bahwa dalam memanfaatkan metode maupun strategi pendidikan harus sesuai dengan jiwa dan karakter remaja.</w:t>
      </w:r>
    </w:p>
    <w:p w:rsidR="00364180" w:rsidRPr="002272BF" w:rsidRDefault="00364180" w:rsidP="00364180">
      <w:pPr>
        <w:spacing w:after="0" w:line="360" w:lineRule="auto"/>
        <w:ind w:firstLine="567"/>
        <w:jc w:val="both"/>
        <w:rPr>
          <w:rFonts w:asciiTheme="majorBidi" w:hAnsiTheme="majorBidi" w:cstheme="majorBidi"/>
          <w:sz w:val="24"/>
          <w:szCs w:val="24"/>
        </w:rPr>
      </w:pPr>
      <w:r w:rsidRPr="002272BF">
        <w:rPr>
          <w:rFonts w:asciiTheme="majorBidi" w:hAnsiTheme="majorBidi" w:cstheme="majorBidi"/>
          <w:sz w:val="24"/>
          <w:szCs w:val="24"/>
        </w:rPr>
        <w:t>Jika melihat uraian di atas berkenaan dengan pendidikan seks dalam perspektif Islam maka integrasi dengan pelajaran dan materi terkait merupakan upaya efektif dalam mengedukasi remaja dalam memahami dan menyadari persoalan seksual dan implikasinya dalam bingkai ajaran Islam.</w:t>
      </w:r>
    </w:p>
    <w:p w:rsidR="00364180" w:rsidRPr="002272BF" w:rsidRDefault="00364180" w:rsidP="00364180">
      <w:pPr>
        <w:spacing w:after="0" w:line="360" w:lineRule="auto"/>
        <w:ind w:firstLine="567"/>
        <w:jc w:val="both"/>
        <w:rPr>
          <w:rFonts w:asciiTheme="majorBidi" w:hAnsiTheme="majorBidi" w:cstheme="majorBidi"/>
          <w:sz w:val="24"/>
          <w:szCs w:val="24"/>
        </w:rPr>
      </w:pPr>
    </w:p>
    <w:p w:rsidR="00364180" w:rsidRPr="002272BF" w:rsidRDefault="00364180" w:rsidP="00364180">
      <w:pPr>
        <w:spacing w:after="0" w:line="360" w:lineRule="auto"/>
        <w:jc w:val="both"/>
        <w:rPr>
          <w:rFonts w:asciiTheme="majorBidi" w:hAnsiTheme="majorBidi" w:cstheme="majorBidi"/>
          <w:b/>
          <w:bCs/>
          <w:sz w:val="24"/>
          <w:szCs w:val="24"/>
        </w:rPr>
      </w:pPr>
      <w:r w:rsidRPr="002272BF">
        <w:rPr>
          <w:rFonts w:asciiTheme="majorBidi" w:hAnsiTheme="majorBidi" w:cstheme="majorBidi"/>
          <w:b/>
          <w:bCs/>
          <w:sz w:val="24"/>
          <w:szCs w:val="24"/>
        </w:rPr>
        <w:t>Urgensi Pendidikan Seks Pada Remaja</w:t>
      </w:r>
    </w:p>
    <w:p w:rsidR="00364180" w:rsidRPr="002272BF" w:rsidRDefault="00364180" w:rsidP="00364180">
      <w:pPr>
        <w:spacing w:after="0" w:line="360" w:lineRule="auto"/>
        <w:ind w:firstLine="567"/>
        <w:jc w:val="both"/>
        <w:rPr>
          <w:rFonts w:asciiTheme="majorBidi" w:hAnsiTheme="majorBidi" w:cstheme="majorBidi"/>
          <w:sz w:val="24"/>
          <w:szCs w:val="24"/>
        </w:rPr>
      </w:pPr>
      <w:r w:rsidRPr="002272BF">
        <w:rPr>
          <w:rFonts w:asciiTheme="majorBidi" w:hAnsiTheme="majorBidi" w:cstheme="majorBidi"/>
          <w:sz w:val="24"/>
          <w:szCs w:val="24"/>
        </w:rPr>
        <w:t>Sebagai bagian dari ajaran Islam, pendidikan seks memiliki signifikansi dan urgensi bagi remaja agar tidak mengalami hambatan dalam menjalani hidup pada fase pubertas. Urgensi pendidikan seks itu sendiri sebenarnya bersifat edukatif dan antisipatif. Oleh karena itu, pendidikan seks harus diajarkan kepada anak-anak (remaja) dengan cara yang setaraf dengan usia pertumbuhan mereka, baik di rumah maupun di sekolah. Pendidikan ini harus dilaksanakan dalam keseluruhan konteks ideologi Islam dan ajaran Islam agar para remaja, di samping memperoleh pengetahuan fisiologis dengan baik, memiliki kesadaran penuh terhadap kesucian hubungan seks dalam Islam dan dosa besar apabila menodai kesucian ini baik dari sudut Islam ataupun dalam pandangan Allah.</w:t>
      </w:r>
      <w:r w:rsidRPr="002272BF">
        <w:rPr>
          <w:rStyle w:val="FootnoteReference"/>
          <w:rFonts w:asciiTheme="majorBidi" w:hAnsiTheme="majorBidi" w:cstheme="majorBidi"/>
          <w:sz w:val="24"/>
          <w:szCs w:val="24"/>
        </w:rPr>
        <w:footnoteReference w:id="35"/>
      </w:r>
    </w:p>
    <w:p w:rsidR="00364180" w:rsidRPr="002272BF" w:rsidRDefault="00364180" w:rsidP="00364180">
      <w:pPr>
        <w:spacing w:after="0" w:line="360" w:lineRule="auto"/>
        <w:ind w:firstLine="567"/>
        <w:jc w:val="both"/>
        <w:rPr>
          <w:rFonts w:asciiTheme="majorBidi" w:hAnsiTheme="majorBidi" w:cstheme="majorBidi"/>
          <w:sz w:val="24"/>
          <w:szCs w:val="24"/>
        </w:rPr>
      </w:pPr>
      <w:r w:rsidRPr="002272BF">
        <w:rPr>
          <w:rFonts w:asciiTheme="majorBidi" w:hAnsiTheme="majorBidi" w:cstheme="majorBidi"/>
          <w:sz w:val="24"/>
          <w:szCs w:val="24"/>
        </w:rPr>
        <w:t xml:space="preserve">Pendidikan seks perlu diberikan dan disampaikan kepada remaja guna menghindari berbagai bentuk penyimpangan seksual (seks bebas) yang berbahaya bagi kehidupan pribadi </w:t>
      </w:r>
      <w:r w:rsidRPr="002272BF">
        <w:rPr>
          <w:rFonts w:asciiTheme="majorBidi" w:hAnsiTheme="majorBidi" w:cstheme="majorBidi"/>
          <w:sz w:val="24"/>
          <w:szCs w:val="24"/>
        </w:rPr>
        <w:lastRenderedPageBreak/>
        <w:t>dan sosial remaja. Ada berbagai macam perilaku seks bebas</w:t>
      </w:r>
      <w:r w:rsidRPr="002272BF">
        <w:rPr>
          <w:rStyle w:val="FootnoteReference"/>
          <w:rFonts w:asciiTheme="majorBidi" w:hAnsiTheme="majorBidi" w:cstheme="majorBidi"/>
          <w:sz w:val="24"/>
          <w:szCs w:val="24"/>
        </w:rPr>
        <w:footnoteReference w:id="36"/>
      </w:r>
      <w:r w:rsidRPr="002272BF">
        <w:rPr>
          <w:rFonts w:asciiTheme="majorBidi" w:hAnsiTheme="majorBidi" w:cstheme="majorBidi"/>
          <w:sz w:val="24"/>
          <w:szCs w:val="24"/>
        </w:rPr>
        <w:t xml:space="preserve"> yang dianggap menyimpang baik secara agama maupun kultur masyarakat Indonesia yaitu seks pranikah, kumpul kebo,</w:t>
      </w:r>
      <w:r w:rsidRPr="002272BF">
        <w:rPr>
          <w:rStyle w:val="FootnoteReference"/>
          <w:rFonts w:asciiTheme="majorBidi" w:hAnsiTheme="majorBidi" w:cstheme="majorBidi"/>
          <w:sz w:val="24"/>
          <w:szCs w:val="24"/>
        </w:rPr>
        <w:footnoteReference w:id="37"/>
      </w:r>
      <w:r w:rsidRPr="002272BF">
        <w:rPr>
          <w:rFonts w:asciiTheme="majorBidi" w:hAnsiTheme="majorBidi" w:cstheme="majorBidi"/>
          <w:sz w:val="24"/>
          <w:szCs w:val="24"/>
        </w:rPr>
        <w:t xml:space="preserve"> pelacuran,</w:t>
      </w:r>
      <w:r w:rsidRPr="002272BF">
        <w:rPr>
          <w:rStyle w:val="FootnoteReference"/>
          <w:rFonts w:asciiTheme="majorBidi" w:hAnsiTheme="majorBidi" w:cstheme="majorBidi"/>
          <w:sz w:val="24"/>
          <w:szCs w:val="24"/>
        </w:rPr>
        <w:footnoteReference w:id="38"/>
      </w:r>
      <w:r w:rsidRPr="002272BF">
        <w:rPr>
          <w:rFonts w:asciiTheme="majorBidi" w:hAnsiTheme="majorBidi" w:cstheme="majorBidi"/>
          <w:sz w:val="24"/>
          <w:szCs w:val="24"/>
        </w:rPr>
        <w:t xml:space="preserve"> gigolo,</w:t>
      </w:r>
      <w:r w:rsidRPr="002272BF">
        <w:rPr>
          <w:rStyle w:val="FootnoteReference"/>
          <w:rFonts w:asciiTheme="majorBidi" w:hAnsiTheme="majorBidi" w:cstheme="majorBidi"/>
          <w:sz w:val="24"/>
          <w:szCs w:val="24"/>
        </w:rPr>
        <w:footnoteReference w:id="39"/>
      </w:r>
      <w:r w:rsidRPr="002272BF">
        <w:rPr>
          <w:rFonts w:asciiTheme="majorBidi" w:hAnsiTheme="majorBidi" w:cstheme="majorBidi"/>
          <w:sz w:val="24"/>
          <w:szCs w:val="24"/>
        </w:rPr>
        <w:t xml:space="preserve"> homoseksual (gay dan lesbian)</w:t>
      </w:r>
      <w:r w:rsidRPr="002272BF">
        <w:rPr>
          <w:rStyle w:val="FootnoteReference"/>
          <w:rFonts w:asciiTheme="majorBidi" w:hAnsiTheme="majorBidi" w:cstheme="majorBidi"/>
          <w:sz w:val="24"/>
          <w:szCs w:val="24"/>
        </w:rPr>
        <w:footnoteReference w:id="40"/>
      </w:r>
      <w:r w:rsidRPr="002272BF">
        <w:rPr>
          <w:rFonts w:asciiTheme="majorBidi" w:hAnsiTheme="majorBidi" w:cstheme="majorBidi"/>
          <w:sz w:val="24"/>
          <w:szCs w:val="24"/>
        </w:rPr>
        <w:t xml:space="preserve"> dan perkosaan.</w:t>
      </w:r>
      <w:r w:rsidRPr="002272BF">
        <w:rPr>
          <w:rStyle w:val="FootnoteReference"/>
          <w:rFonts w:asciiTheme="majorBidi" w:hAnsiTheme="majorBidi" w:cstheme="majorBidi"/>
          <w:sz w:val="24"/>
          <w:szCs w:val="24"/>
        </w:rPr>
        <w:footnoteReference w:id="41"/>
      </w:r>
    </w:p>
    <w:p w:rsidR="00364180" w:rsidRPr="002272BF" w:rsidRDefault="00364180" w:rsidP="00364180">
      <w:pPr>
        <w:spacing w:after="0" w:line="360" w:lineRule="auto"/>
        <w:ind w:firstLine="567"/>
        <w:jc w:val="both"/>
        <w:rPr>
          <w:rFonts w:asciiTheme="majorBidi" w:hAnsiTheme="majorBidi" w:cstheme="majorBidi"/>
          <w:sz w:val="24"/>
          <w:szCs w:val="24"/>
        </w:rPr>
      </w:pPr>
      <w:r w:rsidRPr="002272BF">
        <w:rPr>
          <w:rFonts w:asciiTheme="majorBidi" w:hAnsiTheme="majorBidi" w:cstheme="majorBidi"/>
          <w:sz w:val="24"/>
          <w:szCs w:val="24"/>
        </w:rPr>
        <w:t>Selain sebagai langkah prenventif dan antisipatif, pendidikan seks bagi remaja juga memiliki urgensi sebagai</w:t>
      </w:r>
    </w:p>
    <w:p w:rsidR="00364180" w:rsidRPr="002272BF" w:rsidRDefault="00364180" w:rsidP="00364180">
      <w:pPr>
        <w:pStyle w:val="ListParagraph"/>
        <w:widowControl/>
        <w:numPr>
          <w:ilvl w:val="0"/>
          <w:numId w:val="13"/>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Sarana edukasi bagi remaja dalam memasuki jenjang usia remaja menuju dewasa (masa transisi).</w:t>
      </w:r>
    </w:p>
    <w:p w:rsidR="00364180" w:rsidRPr="002272BF" w:rsidRDefault="00364180" w:rsidP="00364180">
      <w:pPr>
        <w:pStyle w:val="ListParagraph"/>
        <w:widowControl/>
        <w:numPr>
          <w:ilvl w:val="0"/>
          <w:numId w:val="13"/>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Memberikan panduan terkait seksualitas dan implikasinya.</w:t>
      </w:r>
    </w:p>
    <w:p w:rsidR="00364180" w:rsidRPr="002272BF" w:rsidRDefault="00364180" w:rsidP="00364180">
      <w:pPr>
        <w:pStyle w:val="ListParagraph"/>
        <w:widowControl/>
        <w:numPr>
          <w:ilvl w:val="0"/>
          <w:numId w:val="13"/>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Mengarahkan remaja kepada perilaku hidup sehat dan menghindari perilaku tidak sehat terutama yang berkaitan dengan masalah seksual.</w:t>
      </w:r>
    </w:p>
    <w:p w:rsidR="00364180" w:rsidRDefault="00364180" w:rsidP="00364180">
      <w:pPr>
        <w:pStyle w:val="ListParagraph"/>
        <w:widowControl/>
        <w:numPr>
          <w:ilvl w:val="0"/>
          <w:numId w:val="13"/>
        </w:numPr>
        <w:suppressAutoHyphens w:val="0"/>
        <w:spacing w:line="360" w:lineRule="auto"/>
        <w:ind w:left="284" w:hanging="284"/>
        <w:contextualSpacing/>
        <w:jc w:val="both"/>
        <w:rPr>
          <w:rFonts w:asciiTheme="majorBidi" w:hAnsiTheme="majorBidi" w:cstheme="majorBidi"/>
        </w:rPr>
      </w:pPr>
      <w:r w:rsidRPr="002272BF">
        <w:rPr>
          <w:rFonts w:asciiTheme="majorBidi" w:hAnsiTheme="majorBidi" w:cstheme="majorBidi"/>
        </w:rPr>
        <w:t>Menghindari remaja dari perilaku penyimpangan dan kekerasan seksual.</w:t>
      </w:r>
    </w:p>
    <w:p w:rsidR="00364180" w:rsidRPr="00A23F58" w:rsidRDefault="00364180" w:rsidP="00364180">
      <w:pPr>
        <w:spacing w:line="360" w:lineRule="auto"/>
        <w:contextualSpacing/>
        <w:jc w:val="both"/>
        <w:rPr>
          <w:rFonts w:asciiTheme="majorBidi" w:hAnsiTheme="majorBidi" w:cstheme="majorBidi"/>
        </w:rPr>
      </w:pPr>
    </w:p>
    <w:p w:rsidR="00364180" w:rsidRPr="002272BF" w:rsidRDefault="00364180" w:rsidP="00364180">
      <w:pPr>
        <w:spacing w:after="0" w:line="360" w:lineRule="auto"/>
        <w:jc w:val="both"/>
        <w:rPr>
          <w:rFonts w:asciiTheme="majorBidi" w:hAnsiTheme="majorBidi" w:cstheme="majorBidi"/>
          <w:b/>
          <w:bCs/>
          <w:sz w:val="24"/>
          <w:szCs w:val="24"/>
        </w:rPr>
      </w:pPr>
      <w:r w:rsidRPr="002272BF">
        <w:rPr>
          <w:rFonts w:asciiTheme="majorBidi" w:hAnsiTheme="majorBidi" w:cstheme="majorBidi"/>
          <w:b/>
          <w:bCs/>
          <w:sz w:val="24"/>
          <w:szCs w:val="24"/>
        </w:rPr>
        <w:t>Penutup</w:t>
      </w:r>
    </w:p>
    <w:p w:rsidR="00364180" w:rsidRPr="002272BF" w:rsidRDefault="00364180" w:rsidP="00364180">
      <w:pPr>
        <w:spacing w:after="0" w:line="360" w:lineRule="auto"/>
        <w:ind w:firstLine="567"/>
        <w:jc w:val="both"/>
        <w:rPr>
          <w:rFonts w:asciiTheme="majorBidi" w:hAnsiTheme="majorBidi" w:cstheme="majorBidi"/>
          <w:sz w:val="24"/>
          <w:szCs w:val="24"/>
        </w:rPr>
      </w:pPr>
      <w:r w:rsidRPr="002272BF">
        <w:rPr>
          <w:rFonts w:asciiTheme="majorBidi" w:hAnsiTheme="majorBidi" w:cstheme="majorBidi"/>
          <w:sz w:val="24"/>
          <w:szCs w:val="24"/>
        </w:rPr>
        <w:t>Islam telah memberikan pandangan tentang pendidikan seks bagi remaja. Pendidikan seks memiliki urgensi bagi perkembangan diri remaja (muslim) dalam mengarungi kehidupannya yang kompleks. Pendidikan seks menurut Islam mengacu pada ajaran Islam yang terkandung dalam al-Quran dan sunnah nabi disertai dengan sumber kesehatan dan norma masyarakat yang berlaku.</w:t>
      </w:r>
    </w:p>
    <w:p w:rsidR="00364180" w:rsidRPr="002272BF" w:rsidRDefault="00364180" w:rsidP="00364180">
      <w:pPr>
        <w:spacing w:after="0" w:line="360" w:lineRule="auto"/>
        <w:ind w:firstLine="567"/>
        <w:jc w:val="both"/>
        <w:rPr>
          <w:rFonts w:asciiTheme="majorBidi" w:hAnsiTheme="majorBidi" w:cstheme="majorBidi"/>
          <w:sz w:val="24"/>
          <w:szCs w:val="24"/>
        </w:rPr>
      </w:pPr>
      <w:r w:rsidRPr="002272BF">
        <w:rPr>
          <w:rFonts w:asciiTheme="majorBidi" w:hAnsiTheme="majorBidi" w:cstheme="majorBidi"/>
          <w:sz w:val="24"/>
          <w:szCs w:val="24"/>
        </w:rPr>
        <w:t>Orang tua sebagai pendidik utama bagi anak-anak dan remaja memiliki tanggung jawab dalam mengarahkan dan membimbing mereka kepada kehidupan yang berlandaskan pada nilai keislaman dan kemasyarakatan. Pendidikan seks bagi remaja yang efektif adalah dalam bingkai pendidikan keluarga.</w:t>
      </w:r>
    </w:p>
    <w:p w:rsidR="00364180" w:rsidRPr="002272BF" w:rsidRDefault="00364180" w:rsidP="00364180">
      <w:pPr>
        <w:spacing w:after="0" w:line="360" w:lineRule="auto"/>
        <w:ind w:firstLine="567"/>
        <w:jc w:val="both"/>
        <w:rPr>
          <w:rFonts w:asciiTheme="majorBidi" w:hAnsiTheme="majorBidi" w:cstheme="majorBidi"/>
          <w:sz w:val="24"/>
          <w:szCs w:val="24"/>
        </w:rPr>
      </w:pPr>
      <w:r>
        <w:rPr>
          <w:rFonts w:asciiTheme="majorBidi" w:hAnsiTheme="majorBidi" w:cstheme="majorBidi"/>
          <w:sz w:val="24"/>
          <w:szCs w:val="24"/>
        </w:rPr>
        <w:lastRenderedPageBreak/>
        <w:t>Berbagai prinsip, tujuan, kurikulum dan urgensi pendidikan seks bagi remaja meniscayakan implementasi yang mampu membimbing remaja pada tahap kedewasaan dan kemandirian hidup. Tanggung jawab pendidikan seks tidak hanya berada di pundak orang tua namun juga menjadi tanggun jawab guru/dosen, pemuka masyarakat dan tokoh agama serta pemerintah. Remaja adalah harapan bangsa di masa mendatang. Jika remaja diabaikan maka masa depan bangsa akan suram.</w:t>
      </w:r>
    </w:p>
    <w:p w:rsidR="00364180" w:rsidRPr="002272BF" w:rsidRDefault="00364180" w:rsidP="00364180">
      <w:pPr>
        <w:spacing w:after="0" w:line="360" w:lineRule="auto"/>
        <w:ind w:firstLine="567"/>
        <w:jc w:val="both"/>
        <w:rPr>
          <w:rFonts w:asciiTheme="majorBidi" w:hAnsiTheme="majorBidi" w:cstheme="majorBidi"/>
          <w:sz w:val="24"/>
          <w:szCs w:val="24"/>
        </w:rPr>
      </w:pPr>
    </w:p>
    <w:p w:rsidR="00364180" w:rsidRDefault="00364180" w:rsidP="00364180">
      <w:pPr>
        <w:pStyle w:val="ListParagraph"/>
        <w:spacing w:line="360" w:lineRule="auto"/>
        <w:ind w:left="0"/>
        <w:jc w:val="center"/>
        <w:rPr>
          <w:rFonts w:asciiTheme="majorBidi" w:hAnsiTheme="majorBidi" w:cstheme="majorBidi"/>
          <w:b/>
          <w:bCs/>
        </w:rPr>
      </w:pPr>
      <w:r w:rsidRPr="002272BF">
        <w:rPr>
          <w:rFonts w:asciiTheme="majorBidi" w:hAnsiTheme="majorBidi" w:cstheme="majorBidi"/>
          <w:b/>
          <w:bCs/>
        </w:rPr>
        <w:t>Daftar Pustaka</w:t>
      </w:r>
    </w:p>
    <w:p w:rsidR="00364180" w:rsidRPr="002272BF" w:rsidRDefault="00364180" w:rsidP="00364180">
      <w:pPr>
        <w:pStyle w:val="ListParagraph"/>
        <w:spacing w:after="240"/>
        <w:ind w:left="567" w:hanging="567"/>
        <w:jc w:val="both"/>
        <w:rPr>
          <w:rFonts w:asciiTheme="majorBidi" w:hAnsiTheme="majorBidi" w:cstheme="majorBidi"/>
        </w:rPr>
      </w:pPr>
      <w:r w:rsidRPr="002272BF">
        <w:rPr>
          <w:rFonts w:asciiTheme="majorBidi" w:hAnsiTheme="majorBidi" w:cstheme="majorBidi"/>
        </w:rPr>
        <w:t xml:space="preserve">Akbar, Ali, </w:t>
      </w:r>
      <w:r w:rsidRPr="002272BF">
        <w:rPr>
          <w:rFonts w:asciiTheme="majorBidi" w:hAnsiTheme="majorBidi" w:cstheme="majorBidi"/>
          <w:i/>
          <w:iCs/>
        </w:rPr>
        <w:t xml:space="preserve">Seksualitas Ditinjau dari Hukum Islam. </w:t>
      </w:r>
      <w:r w:rsidRPr="002272BF">
        <w:rPr>
          <w:rFonts w:asciiTheme="majorBidi" w:hAnsiTheme="majorBidi" w:cstheme="majorBidi"/>
        </w:rPr>
        <w:t>Jakarta: Ghalia Indonesia, 1983.</w:t>
      </w:r>
    </w:p>
    <w:p w:rsidR="00364180" w:rsidRPr="002272BF" w:rsidRDefault="00364180" w:rsidP="00364180">
      <w:pPr>
        <w:pStyle w:val="ListParagraph"/>
        <w:spacing w:after="240"/>
        <w:ind w:left="567" w:hanging="567"/>
        <w:jc w:val="both"/>
        <w:rPr>
          <w:rFonts w:asciiTheme="majorBidi" w:hAnsiTheme="majorBidi" w:cstheme="majorBidi"/>
        </w:rPr>
      </w:pPr>
      <w:r w:rsidRPr="002272BF">
        <w:rPr>
          <w:rFonts w:asciiTheme="majorBidi" w:hAnsiTheme="majorBidi" w:cstheme="majorBidi"/>
        </w:rPr>
        <w:t xml:space="preserve">Basyir, Ahmad Azhar, </w:t>
      </w:r>
      <w:r w:rsidRPr="002272BF">
        <w:rPr>
          <w:rFonts w:asciiTheme="majorBidi" w:hAnsiTheme="majorBidi" w:cstheme="majorBidi"/>
          <w:i/>
          <w:iCs/>
        </w:rPr>
        <w:t xml:space="preserve">Ajaran Islam tentang Pendidikan Seks, Hidup Berumah Tangga, Pendidikan Anak. </w:t>
      </w:r>
      <w:r w:rsidRPr="002272BF">
        <w:rPr>
          <w:rFonts w:asciiTheme="majorBidi" w:hAnsiTheme="majorBidi" w:cstheme="majorBidi"/>
        </w:rPr>
        <w:t>Bandung: Al-Ma’arif, 1996.</w:t>
      </w:r>
    </w:p>
    <w:p w:rsidR="00364180" w:rsidRPr="002272BF" w:rsidRDefault="00364180" w:rsidP="00364180">
      <w:pPr>
        <w:pStyle w:val="ListParagraph"/>
        <w:spacing w:after="240"/>
        <w:ind w:left="567" w:hanging="567"/>
        <w:jc w:val="both"/>
        <w:rPr>
          <w:rFonts w:asciiTheme="majorBidi" w:hAnsiTheme="majorBidi" w:cstheme="majorBidi"/>
        </w:rPr>
      </w:pPr>
      <w:r w:rsidRPr="002272BF">
        <w:rPr>
          <w:rFonts w:asciiTheme="majorBidi" w:hAnsiTheme="majorBidi" w:cstheme="majorBidi"/>
        </w:rPr>
        <w:t xml:space="preserve">Halstead, J. Mark dan Michael Reiss, </w:t>
      </w:r>
      <w:r w:rsidRPr="002272BF">
        <w:rPr>
          <w:rFonts w:asciiTheme="majorBidi" w:hAnsiTheme="majorBidi" w:cstheme="majorBidi"/>
          <w:i/>
          <w:iCs/>
        </w:rPr>
        <w:t xml:space="preserve">Sex Education Nilai dalam Pendidikan Seks Bagi Remaja; Dari Prinsip ke Prakte,  </w:t>
      </w:r>
      <w:r w:rsidRPr="002272BF">
        <w:rPr>
          <w:rFonts w:asciiTheme="majorBidi" w:hAnsiTheme="majorBidi" w:cstheme="majorBidi"/>
        </w:rPr>
        <w:t>terj. Kuni Khairun Nisak, Yogyakarta: Alenia Press, 2004.</w:t>
      </w:r>
    </w:p>
    <w:p w:rsidR="00364180" w:rsidRPr="002272BF" w:rsidRDefault="00364180" w:rsidP="00364180">
      <w:pPr>
        <w:pStyle w:val="ListParagraph"/>
        <w:spacing w:after="240"/>
        <w:ind w:left="567" w:hanging="567"/>
        <w:jc w:val="both"/>
        <w:rPr>
          <w:rFonts w:asciiTheme="majorBidi" w:hAnsiTheme="majorBidi" w:cstheme="majorBidi"/>
        </w:rPr>
      </w:pPr>
      <w:r w:rsidRPr="002272BF">
        <w:rPr>
          <w:rFonts w:asciiTheme="majorBidi" w:hAnsiTheme="majorBidi" w:cstheme="majorBidi"/>
        </w:rPr>
        <w:t xml:space="preserve">LAL, Anshori, </w:t>
      </w:r>
      <w:r w:rsidRPr="002272BF">
        <w:rPr>
          <w:rFonts w:asciiTheme="majorBidi" w:hAnsiTheme="majorBidi" w:cstheme="majorBidi"/>
          <w:i/>
          <w:iCs/>
        </w:rPr>
        <w:t>Pendidikan Islam Transformatif</w:t>
      </w:r>
      <w:r w:rsidRPr="002272BF">
        <w:rPr>
          <w:rFonts w:asciiTheme="majorBidi" w:hAnsiTheme="majorBidi" w:cstheme="majorBidi"/>
        </w:rPr>
        <w:t>. Jakarta: Referensi, 2012.</w:t>
      </w:r>
    </w:p>
    <w:p w:rsidR="00364180" w:rsidRPr="002272BF" w:rsidRDefault="00364180" w:rsidP="00364180">
      <w:pPr>
        <w:pStyle w:val="ListParagraph"/>
        <w:spacing w:after="240"/>
        <w:ind w:left="567" w:hanging="567"/>
        <w:jc w:val="both"/>
        <w:rPr>
          <w:rFonts w:asciiTheme="majorBidi" w:hAnsiTheme="majorBidi" w:cstheme="majorBidi"/>
        </w:rPr>
      </w:pPr>
      <w:r w:rsidRPr="002272BF">
        <w:rPr>
          <w:rFonts w:asciiTheme="majorBidi" w:hAnsiTheme="majorBidi" w:cstheme="majorBidi"/>
        </w:rPr>
        <w:t xml:space="preserve">Masland, Robert P. dan David Estridge, </w:t>
      </w:r>
      <w:r w:rsidRPr="002272BF">
        <w:rPr>
          <w:rFonts w:asciiTheme="majorBidi" w:hAnsiTheme="majorBidi" w:cstheme="majorBidi"/>
          <w:i/>
          <w:iCs/>
        </w:rPr>
        <w:t xml:space="preserve">Apa yang Ingin Diketahui Remaja tentang Seks, </w:t>
      </w:r>
      <w:r w:rsidRPr="002272BF">
        <w:rPr>
          <w:rFonts w:asciiTheme="majorBidi" w:hAnsiTheme="majorBidi" w:cstheme="majorBidi"/>
        </w:rPr>
        <w:t>terj. Mira T. Windy, Jakarta: PT. Bumi Aksara, 2000.</w:t>
      </w:r>
    </w:p>
    <w:p w:rsidR="00364180" w:rsidRPr="002272BF" w:rsidRDefault="00364180" w:rsidP="00364180">
      <w:pPr>
        <w:pStyle w:val="ListParagraph"/>
        <w:spacing w:after="240"/>
        <w:ind w:left="567" w:hanging="567"/>
        <w:jc w:val="both"/>
        <w:rPr>
          <w:rFonts w:asciiTheme="majorBidi" w:hAnsiTheme="majorBidi" w:cstheme="majorBidi"/>
        </w:rPr>
      </w:pPr>
      <w:r w:rsidRPr="002272BF">
        <w:rPr>
          <w:rFonts w:asciiTheme="majorBidi" w:hAnsiTheme="majorBidi" w:cstheme="majorBidi"/>
        </w:rPr>
        <w:t xml:space="preserve">Muchtar, Heri Jauhari, </w:t>
      </w:r>
      <w:r w:rsidRPr="002272BF">
        <w:rPr>
          <w:rFonts w:asciiTheme="majorBidi" w:hAnsiTheme="majorBidi" w:cstheme="majorBidi"/>
          <w:i/>
          <w:iCs/>
        </w:rPr>
        <w:t xml:space="preserve">Fikih Pendidikan. </w:t>
      </w:r>
      <w:r w:rsidRPr="002272BF">
        <w:rPr>
          <w:rFonts w:asciiTheme="majorBidi" w:hAnsiTheme="majorBidi" w:cstheme="majorBidi"/>
        </w:rPr>
        <w:t>Bangdung: Remaja Rosdakarya, 2008.</w:t>
      </w:r>
    </w:p>
    <w:p w:rsidR="00364180" w:rsidRPr="002272BF" w:rsidRDefault="00364180" w:rsidP="00364180">
      <w:pPr>
        <w:pStyle w:val="ListParagraph"/>
        <w:spacing w:after="240"/>
        <w:ind w:left="567" w:hanging="567"/>
        <w:jc w:val="both"/>
        <w:rPr>
          <w:rFonts w:asciiTheme="majorBidi" w:hAnsiTheme="majorBidi" w:cstheme="majorBidi"/>
        </w:rPr>
      </w:pPr>
      <w:r w:rsidRPr="002272BF">
        <w:rPr>
          <w:rFonts w:asciiTheme="majorBidi" w:hAnsiTheme="majorBidi" w:cstheme="majorBidi"/>
        </w:rPr>
        <w:t xml:space="preserve">Mujiburrahman, </w:t>
      </w:r>
      <w:r w:rsidRPr="002272BF">
        <w:rPr>
          <w:rFonts w:asciiTheme="majorBidi" w:hAnsiTheme="majorBidi" w:cstheme="majorBidi"/>
          <w:i/>
          <w:iCs/>
        </w:rPr>
        <w:t xml:space="preserve">Bercermin ke Barat: Pendidikan Islam AntaraAjaran dan Kenyataan. </w:t>
      </w:r>
      <w:r w:rsidRPr="002272BF">
        <w:rPr>
          <w:rFonts w:asciiTheme="majorBidi" w:hAnsiTheme="majorBidi" w:cstheme="majorBidi"/>
        </w:rPr>
        <w:t>Banjarmasin: Jendela, 2013.</w:t>
      </w:r>
    </w:p>
    <w:p w:rsidR="00364180" w:rsidRPr="002272BF" w:rsidRDefault="00364180" w:rsidP="00364180">
      <w:pPr>
        <w:pStyle w:val="ListParagraph"/>
        <w:spacing w:after="240"/>
        <w:ind w:left="567" w:hanging="567"/>
        <w:jc w:val="both"/>
        <w:rPr>
          <w:rFonts w:asciiTheme="majorBidi" w:hAnsiTheme="majorBidi" w:cstheme="majorBidi"/>
        </w:rPr>
      </w:pPr>
      <w:r w:rsidRPr="002272BF">
        <w:rPr>
          <w:rFonts w:asciiTheme="majorBidi" w:hAnsiTheme="majorBidi" w:cstheme="majorBidi"/>
        </w:rPr>
        <w:t xml:space="preserve">Mujtabah, Saifuddin dan M. Yusuf Ridwan, </w:t>
      </w:r>
      <w:r w:rsidRPr="002272BF">
        <w:rPr>
          <w:rFonts w:asciiTheme="majorBidi" w:hAnsiTheme="majorBidi" w:cstheme="majorBidi"/>
          <w:i/>
          <w:iCs/>
        </w:rPr>
        <w:t>Nikmatnya Seks Islami</w:t>
      </w:r>
      <w:r w:rsidRPr="002272BF">
        <w:rPr>
          <w:rFonts w:asciiTheme="majorBidi" w:hAnsiTheme="majorBidi" w:cstheme="majorBidi"/>
        </w:rPr>
        <w:t>.Yogyakarta: Penerbit Pustaka Marwa, 2010.</w:t>
      </w:r>
    </w:p>
    <w:p w:rsidR="00364180" w:rsidRPr="002272BF" w:rsidRDefault="00364180" w:rsidP="00364180">
      <w:pPr>
        <w:pStyle w:val="ListParagraph"/>
        <w:spacing w:after="240"/>
        <w:ind w:left="567" w:hanging="567"/>
        <w:jc w:val="both"/>
        <w:rPr>
          <w:rFonts w:asciiTheme="majorBidi" w:hAnsiTheme="majorBidi" w:cstheme="majorBidi"/>
        </w:rPr>
      </w:pPr>
      <w:r w:rsidRPr="002272BF">
        <w:rPr>
          <w:rFonts w:asciiTheme="majorBidi" w:hAnsiTheme="majorBidi" w:cstheme="majorBidi"/>
        </w:rPr>
        <w:t xml:space="preserve">Rahbar, Faramarz bin Muhammad, </w:t>
      </w:r>
      <w:r w:rsidRPr="002272BF">
        <w:rPr>
          <w:rFonts w:asciiTheme="majorBidi" w:hAnsiTheme="majorBidi" w:cstheme="majorBidi"/>
          <w:i/>
          <w:iCs/>
        </w:rPr>
        <w:t xml:space="preserve">Selamatkan Putra-Putrimu dari Lingkungan Tidak Islami,  </w:t>
      </w:r>
      <w:r w:rsidRPr="002272BF">
        <w:rPr>
          <w:rFonts w:asciiTheme="majorBidi" w:hAnsiTheme="majorBidi" w:cstheme="majorBidi"/>
        </w:rPr>
        <w:t>terj. Kamdani, Yogyakarta: Mitra Pustaka, 1999.</w:t>
      </w:r>
    </w:p>
    <w:p w:rsidR="00364180" w:rsidRPr="002272BF" w:rsidRDefault="00364180" w:rsidP="00364180">
      <w:pPr>
        <w:pStyle w:val="ListParagraph"/>
        <w:spacing w:after="240"/>
        <w:ind w:left="567" w:hanging="567"/>
        <w:jc w:val="both"/>
        <w:rPr>
          <w:rFonts w:asciiTheme="majorBidi" w:hAnsiTheme="majorBidi" w:cstheme="majorBidi"/>
        </w:rPr>
      </w:pPr>
      <w:r w:rsidRPr="002272BF">
        <w:rPr>
          <w:rFonts w:asciiTheme="majorBidi" w:hAnsiTheme="majorBidi" w:cstheme="majorBidi"/>
        </w:rPr>
        <w:t xml:space="preserve">Sa’abah, Marzuki Umar, </w:t>
      </w:r>
      <w:r w:rsidRPr="002272BF">
        <w:rPr>
          <w:rFonts w:asciiTheme="majorBidi" w:hAnsiTheme="majorBidi" w:cstheme="majorBidi"/>
          <w:i/>
          <w:iCs/>
        </w:rPr>
        <w:t xml:space="preserve">Perilaku Seks Menyimpang dan Seksualitas Kontemporer Umat Islam. </w:t>
      </w:r>
      <w:r w:rsidRPr="002272BF">
        <w:rPr>
          <w:rFonts w:asciiTheme="majorBidi" w:hAnsiTheme="majorBidi" w:cstheme="majorBidi"/>
        </w:rPr>
        <w:t>Yogyakarta: UII Press, 2001.</w:t>
      </w:r>
    </w:p>
    <w:p w:rsidR="00364180" w:rsidRPr="002272BF" w:rsidRDefault="00364180" w:rsidP="00364180">
      <w:pPr>
        <w:pStyle w:val="ListParagraph"/>
        <w:spacing w:after="240"/>
        <w:ind w:left="567" w:hanging="567"/>
        <w:jc w:val="both"/>
        <w:rPr>
          <w:rFonts w:asciiTheme="majorBidi" w:hAnsiTheme="majorBidi" w:cstheme="majorBidi"/>
        </w:rPr>
      </w:pPr>
      <w:r w:rsidRPr="002272BF">
        <w:rPr>
          <w:rFonts w:asciiTheme="majorBidi" w:hAnsiTheme="majorBidi" w:cstheme="majorBidi"/>
        </w:rPr>
        <w:t xml:space="preserve">Tanjung, Bgd. Armaidi, </w:t>
      </w:r>
      <w:r w:rsidRPr="002272BF">
        <w:rPr>
          <w:rFonts w:asciiTheme="majorBidi" w:hAnsiTheme="majorBidi" w:cstheme="majorBidi"/>
          <w:i/>
          <w:iCs/>
        </w:rPr>
        <w:t>Free Sex No! Nikah Yes!</w:t>
      </w:r>
      <w:r w:rsidRPr="002272BF">
        <w:rPr>
          <w:rFonts w:asciiTheme="majorBidi" w:hAnsiTheme="majorBidi" w:cstheme="majorBidi"/>
        </w:rPr>
        <w:t>. Jakarta: Amzah, 2007.</w:t>
      </w:r>
    </w:p>
    <w:p w:rsidR="00364180" w:rsidRPr="002272BF" w:rsidRDefault="00364180" w:rsidP="00364180">
      <w:pPr>
        <w:pStyle w:val="ListParagraph"/>
        <w:spacing w:after="240"/>
        <w:ind w:left="567" w:hanging="567"/>
        <w:jc w:val="both"/>
        <w:rPr>
          <w:rFonts w:asciiTheme="majorBidi" w:hAnsiTheme="majorBidi" w:cstheme="majorBidi"/>
        </w:rPr>
      </w:pPr>
      <w:r w:rsidRPr="002272BF">
        <w:rPr>
          <w:rFonts w:asciiTheme="majorBidi" w:hAnsiTheme="majorBidi" w:cstheme="majorBidi"/>
        </w:rPr>
        <w:t xml:space="preserve">Thalib, Muhamad, </w:t>
      </w:r>
      <w:r w:rsidRPr="002272BF">
        <w:rPr>
          <w:rFonts w:asciiTheme="majorBidi" w:hAnsiTheme="majorBidi" w:cstheme="majorBidi"/>
          <w:i/>
          <w:iCs/>
        </w:rPr>
        <w:t xml:space="preserve">Bimbingan Kemesraan dan Seksualitas Islami. </w:t>
      </w:r>
      <w:r w:rsidRPr="002272BF">
        <w:rPr>
          <w:rFonts w:asciiTheme="majorBidi" w:hAnsiTheme="majorBidi" w:cstheme="majorBidi"/>
        </w:rPr>
        <w:t>Yogyakarta: Pro-U Media, 2008.</w:t>
      </w:r>
    </w:p>
    <w:p w:rsidR="00364180" w:rsidRPr="002272BF" w:rsidRDefault="00364180" w:rsidP="00364180">
      <w:pPr>
        <w:pStyle w:val="ListParagraph"/>
        <w:spacing w:after="240"/>
        <w:ind w:left="567" w:hanging="567"/>
        <w:jc w:val="both"/>
        <w:rPr>
          <w:rFonts w:asciiTheme="majorBidi" w:hAnsiTheme="majorBidi" w:cstheme="majorBidi"/>
        </w:rPr>
      </w:pPr>
      <w:r w:rsidRPr="002272BF">
        <w:rPr>
          <w:rFonts w:asciiTheme="majorBidi" w:hAnsiTheme="majorBidi" w:cstheme="majorBidi"/>
        </w:rPr>
        <w:t xml:space="preserve">Thawiil ath-, Utsman, </w:t>
      </w:r>
      <w:r w:rsidRPr="002272BF">
        <w:rPr>
          <w:rFonts w:asciiTheme="majorBidi" w:hAnsiTheme="majorBidi" w:cstheme="majorBidi"/>
          <w:i/>
          <w:iCs/>
        </w:rPr>
        <w:t xml:space="preserve">Ajaran Islam tentang Fenomena Seksual, </w:t>
      </w:r>
      <w:r w:rsidRPr="002272BF">
        <w:rPr>
          <w:rFonts w:asciiTheme="majorBidi" w:hAnsiTheme="majorBidi" w:cstheme="majorBidi"/>
        </w:rPr>
        <w:t>terj. Saefuddin Zuhri, Jakarta: PT. RajaGrafindo Persada, 1997.</w:t>
      </w:r>
    </w:p>
    <w:p w:rsidR="00BD081A" w:rsidRPr="00364180" w:rsidRDefault="00364180" w:rsidP="00364180">
      <w:pPr>
        <w:pStyle w:val="ListParagraph"/>
        <w:spacing w:after="240"/>
        <w:ind w:left="567" w:hanging="567"/>
        <w:jc w:val="both"/>
        <w:rPr>
          <w:rFonts w:asciiTheme="majorBidi" w:hAnsiTheme="majorBidi" w:cstheme="majorBidi"/>
          <w:lang w:val="id-ID"/>
        </w:rPr>
      </w:pPr>
      <w:r w:rsidRPr="002272BF">
        <w:rPr>
          <w:rFonts w:asciiTheme="majorBidi" w:hAnsiTheme="majorBidi" w:cstheme="majorBidi"/>
        </w:rPr>
        <w:t xml:space="preserve">Ulwan, Abdullah Nashih dan Hassan Hathout, </w:t>
      </w:r>
      <w:r w:rsidRPr="002272BF">
        <w:rPr>
          <w:rFonts w:asciiTheme="majorBidi" w:hAnsiTheme="majorBidi" w:cstheme="majorBidi"/>
          <w:i/>
          <w:iCs/>
        </w:rPr>
        <w:t xml:space="preserve">Pendidikan Anak Menurut Islam: Pendidikan Seks, </w:t>
      </w:r>
      <w:r w:rsidRPr="002272BF">
        <w:rPr>
          <w:rFonts w:asciiTheme="majorBidi" w:hAnsiTheme="majorBidi" w:cstheme="majorBidi"/>
        </w:rPr>
        <w:t>terj. Khalilullah Ahmas Masjkur Hakim dan Jalaluddin Rakhmat, Bandung: Remaja Rosdakarya, 1992.</w:t>
      </w:r>
    </w:p>
    <w:sectPr w:rsidR="00BD081A" w:rsidRPr="00364180" w:rsidSect="0045151E">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780C" w:rsidRDefault="00B5780C" w:rsidP="00364180">
      <w:pPr>
        <w:spacing w:after="0" w:line="240" w:lineRule="auto"/>
      </w:pPr>
      <w:r>
        <w:separator/>
      </w:r>
    </w:p>
  </w:endnote>
  <w:endnote w:type="continuationSeparator" w:id="1">
    <w:p w:rsidR="00B5780C" w:rsidRDefault="00B5780C" w:rsidP="003641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raditional Arabic">
    <w:altName w:val="Times New Roman"/>
    <w:charset w:val="00"/>
    <w:family w:val="roman"/>
    <w:pitch w:val="variable"/>
    <w:sig w:usb0="00002003" w:usb1="80000000" w:usb2="00000008" w:usb3="00000000" w:csb0="00000041" w:csb1="00000000"/>
  </w:font>
  <w:font w:name="Simplified Arabic">
    <w:altName w:val="Times New Roman"/>
    <w:charset w:val="00"/>
    <w:family w:val="roman"/>
    <w:pitch w:val="variable"/>
    <w:sig w:usb0="00000000"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780C" w:rsidRDefault="00B5780C" w:rsidP="00364180">
      <w:pPr>
        <w:spacing w:after="0" w:line="240" w:lineRule="auto"/>
      </w:pPr>
      <w:r>
        <w:separator/>
      </w:r>
    </w:p>
  </w:footnote>
  <w:footnote w:type="continuationSeparator" w:id="1">
    <w:p w:rsidR="00B5780C" w:rsidRDefault="00B5780C" w:rsidP="00364180">
      <w:pPr>
        <w:spacing w:after="0" w:line="240" w:lineRule="auto"/>
      </w:pPr>
      <w:r>
        <w:continuationSeparator/>
      </w:r>
    </w:p>
  </w:footnote>
  <w:footnote w:id="2">
    <w:p w:rsidR="00364180" w:rsidRPr="00286AF7" w:rsidRDefault="00364180" w:rsidP="00364180">
      <w:pPr>
        <w:pStyle w:val="FootnoteText"/>
        <w:ind w:firstLine="567"/>
        <w:jc w:val="both"/>
        <w:rPr>
          <w:rFonts w:asciiTheme="majorBidi" w:hAnsiTheme="majorBidi" w:cstheme="majorBidi"/>
        </w:rPr>
      </w:pPr>
      <w:r w:rsidRPr="00286AF7">
        <w:rPr>
          <w:rStyle w:val="FootnoteReference"/>
          <w:rFonts w:asciiTheme="majorBidi" w:hAnsiTheme="majorBidi" w:cstheme="majorBidi"/>
        </w:rPr>
        <w:footnoteRef/>
      </w:r>
      <w:r w:rsidRPr="00286AF7">
        <w:rPr>
          <w:rFonts w:asciiTheme="majorBidi" w:hAnsiTheme="majorBidi" w:cstheme="majorBidi"/>
        </w:rPr>
        <w:t xml:space="preserve"> Pendidikan seks di Jerman telah menjadi bagian dari kurikulum sejak 1970 yang mencakup proses pertumbuhan, perubahan bentuk tubuh, emosi, proses biologis dan reproduksi, aktivitas sosial, kemitraan, homoseksualitas, kehamilan pranikah, komplikasi dari aborsi, bahaya kekerasan seksual, kekerasan seksual pada anak, penyakit menular yang diakibatkan hubungan seksual, posisi seks, dan alat kontrasepsi. Sementara di Belanda, pendidikan seks dimulai sejak akhir 1980 melalui paket </w:t>
      </w:r>
      <w:r w:rsidRPr="00286AF7">
        <w:rPr>
          <w:rFonts w:asciiTheme="majorBidi" w:hAnsiTheme="majorBidi" w:cstheme="majorBidi"/>
          <w:i/>
          <w:iCs/>
        </w:rPr>
        <w:t>Long Live Love</w:t>
      </w:r>
      <w:r w:rsidRPr="00286AF7">
        <w:rPr>
          <w:rFonts w:asciiTheme="majorBidi" w:hAnsiTheme="majorBidi" w:cstheme="majorBidi"/>
        </w:rPr>
        <w:t xml:space="preserve">. Melalui paket ini pemerintah membekali remaja dengan kemampuan membuat keputusan mengenai kesehatan dan seksualitas. Anshori LAL, </w:t>
      </w:r>
      <w:r w:rsidRPr="00286AF7">
        <w:rPr>
          <w:rFonts w:asciiTheme="majorBidi" w:hAnsiTheme="majorBidi" w:cstheme="majorBidi"/>
          <w:i/>
          <w:iCs/>
        </w:rPr>
        <w:t>Pendidikan Islam Transformatif</w:t>
      </w:r>
      <w:r w:rsidRPr="00286AF7">
        <w:rPr>
          <w:rFonts w:asciiTheme="majorBidi" w:hAnsiTheme="majorBidi" w:cstheme="majorBidi"/>
        </w:rPr>
        <w:t xml:space="preserve"> (Jakarta: Referensi, 2012), hlm.94-95.</w:t>
      </w:r>
    </w:p>
  </w:footnote>
  <w:footnote w:id="3">
    <w:p w:rsidR="00364180" w:rsidRPr="00286AF7" w:rsidRDefault="00364180" w:rsidP="00364180">
      <w:pPr>
        <w:pStyle w:val="FootnoteText"/>
        <w:ind w:firstLine="567"/>
        <w:jc w:val="both"/>
        <w:rPr>
          <w:rFonts w:asciiTheme="majorBidi" w:hAnsiTheme="majorBidi" w:cstheme="majorBidi"/>
        </w:rPr>
      </w:pPr>
      <w:r w:rsidRPr="00286AF7">
        <w:rPr>
          <w:rStyle w:val="FootnoteReference"/>
          <w:rFonts w:asciiTheme="majorBidi" w:hAnsiTheme="majorBidi" w:cstheme="majorBidi"/>
        </w:rPr>
        <w:footnoteRef/>
      </w:r>
      <w:r w:rsidRPr="00286AF7">
        <w:rPr>
          <w:rFonts w:asciiTheme="majorBidi" w:hAnsiTheme="majorBidi" w:cstheme="majorBidi"/>
        </w:rPr>
        <w:t xml:space="preserve"> Saifuddin Mujtabah dan M. Yusuf Ridwan, </w:t>
      </w:r>
      <w:r w:rsidRPr="00286AF7">
        <w:rPr>
          <w:rFonts w:asciiTheme="majorBidi" w:hAnsiTheme="majorBidi" w:cstheme="majorBidi"/>
          <w:i/>
          <w:iCs/>
        </w:rPr>
        <w:t xml:space="preserve">Nikmatnya Seks Islami </w:t>
      </w:r>
      <w:r w:rsidRPr="00286AF7">
        <w:rPr>
          <w:rFonts w:asciiTheme="majorBidi" w:hAnsiTheme="majorBidi" w:cstheme="majorBidi"/>
        </w:rPr>
        <w:t>(Yogyakarta: Penerbit Pustaka Marwa, 2010), hlm. 18.</w:t>
      </w:r>
    </w:p>
  </w:footnote>
  <w:footnote w:id="4">
    <w:p w:rsidR="00364180" w:rsidRPr="00286AF7" w:rsidRDefault="00364180" w:rsidP="00364180">
      <w:pPr>
        <w:pStyle w:val="FootnoteText"/>
        <w:ind w:firstLine="567"/>
        <w:jc w:val="both"/>
        <w:rPr>
          <w:rFonts w:asciiTheme="majorBidi" w:hAnsiTheme="majorBidi" w:cstheme="majorBidi"/>
        </w:rPr>
      </w:pPr>
      <w:r w:rsidRPr="00286AF7">
        <w:rPr>
          <w:rStyle w:val="FootnoteReference"/>
          <w:rFonts w:asciiTheme="majorBidi" w:hAnsiTheme="majorBidi" w:cstheme="majorBidi"/>
        </w:rPr>
        <w:footnoteRef/>
      </w:r>
      <w:r w:rsidRPr="00286AF7">
        <w:rPr>
          <w:rFonts w:asciiTheme="majorBidi" w:hAnsiTheme="majorBidi" w:cstheme="majorBidi"/>
        </w:rPr>
        <w:t xml:space="preserve"> Marzuki Umar Sa’abah, </w:t>
      </w:r>
      <w:r w:rsidRPr="00286AF7">
        <w:rPr>
          <w:rFonts w:asciiTheme="majorBidi" w:hAnsiTheme="majorBidi" w:cstheme="majorBidi"/>
          <w:i/>
          <w:iCs/>
        </w:rPr>
        <w:t xml:space="preserve">Perilaku Seks Menyimpang dan Seksualitas Kontemporer Umat Islam </w:t>
      </w:r>
      <w:r w:rsidRPr="00286AF7">
        <w:rPr>
          <w:rFonts w:asciiTheme="majorBidi" w:hAnsiTheme="majorBidi" w:cstheme="majorBidi"/>
        </w:rPr>
        <w:t>(Yogyakarta: UII Press, 2001), hlm. 1.</w:t>
      </w:r>
    </w:p>
  </w:footnote>
  <w:footnote w:id="5">
    <w:p w:rsidR="00364180" w:rsidRPr="00286AF7" w:rsidRDefault="00364180" w:rsidP="00364180">
      <w:pPr>
        <w:pStyle w:val="FootnoteText"/>
        <w:ind w:firstLine="567"/>
        <w:jc w:val="both"/>
        <w:rPr>
          <w:rFonts w:asciiTheme="majorBidi" w:hAnsiTheme="majorBidi" w:cstheme="majorBidi"/>
        </w:rPr>
      </w:pPr>
      <w:r w:rsidRPr="00286AF7">
        <w:rPr>
          <w:rStyle w:val="FootnoteReference"/>
          <w:rFonts w:asciiTheme="majorBidi" w:hAnsiTheme="majorBidi" w:cstheme="majorBidi"/>
        </w:rPr>
        <w:footnoteRef/>
      </w:r>
      <w:r w:rsidRPr="00286AF7">
        <w:rPr>
          <w:rFonts w:asciiTheme="majorBidi" w:hAnsiTheme="majorBidi" w:cstheme="majorBidi"/>
        </w:rPr>
        <w:t xml:space="preserve"> Anshori LAL, </w:t>
      </w:r>
      <w:r>
        <w:rPr>
          <w:rFonts w:asciiTheme="majorBidi" w:hAnsiTheme="majorBidi" w:cstheme="majorBidi"/>
          <w:i/>
          <w:iCs/>
        </w:rPr>
        <w:t>Pendidikan Islam Transformatif...</w:t>
      </w:r>
      <w:r w:rsidRPr="00286AF7">
        <w:rPr>
          <w:rFonts w:asciiTheme="majorBidi" w:hAnsiTheme="majorBidi" w:cstheme="majorBidi"/>
        </w:rPr>
        <w:t>, hlm. 95.</w:t>
      </w:r>
    </w:p>
  </w:footnote>
  <w:footnote w:id="6">
    <w:p w:rsidR="00364180" w:rsidRPr="00286AF7" w:rsidRDefault="00364180" w:rsidP="00364180">
      <w:pPr>
        <w:pStyle w:val="FootnoteText"/>
        <w:ind w:firstLine="567"/>
        <w:jc w:val="both"/>
        <w:rPr>
          <w:rFonts w:asciiTheme="majorBidi" w:hAnsiTheme="majorBidi" w:cstheme="majorBidi"/>
        </w:rPr>
      </w:pPr>
      <w:r w:rsidRPr="00286AF7">
        <w:rPr>
          <w:rStyle w:val="FootnoteReference"/>
          <w:rFonts w:asciiTheme="majorBidi" w:hAnsiTheme="majorBidi" w:cstheme="majorBidi"/>
        </w:rPr>
        <w:footnoteRef/>
      </w:r>
      <w:r w:rsidRPr="00286AF7">
        <w:rPr>
          <w:rFonts w:asciiTheme="majorBidi" w:hAnsiTheme="majorBidi" w:cstheme="majorBidi"/>
        </w:rPr>
        <w:t xml:space="preserve"> Utsman ath-Thawiil, </w:t>
      </w:r>
      <w:r w:rsidRPr="00286AF7">
        <w:rPr>
          <w:rFonts w:asciiTheme="majorBidi" w:hAnsiTheme="majorBidi" w:cstheme="majorBidi"/>
          <w:i/>
          <w:iCs/>
        </w:rPr>
        <w:t xml:space="preserve">Ajaran Islam tentang Fenomena Seksual </w:t>
      </w:r>
      <w:r w:rsidRPr="00286AF7">
        <w:rPr>
          <w:rFonts w:asciiTheme="majorBidi" w:hAnsiTheme="majorBidi" w:cstheme="majorBidi"/>
        </w:rPr>
        <w:t>terj. Saefuddin Zuhri, (Jakarta: PT. RajaGrafindo Persada, 1997), hlm. ix.</w:t>
      </w:r>
    </w:p>
  </w:footnote>
  <w:footnote w:id="7">
    <w:p w:rsidR="00364180" w:rsidRPr="00286AF7" w:rsidRDefault="00364180" w:rsidP="00364180">
      <w:pPr>
        <w:pStyle w:val="FootnoteText"/>
        <w:ind w:firstLine="567"/>
        <w:jc w:val="both"/>
        <w:rPr>
          <w:rFonts w:asciiTheme="majorBidi" w:hAnsiTheme="majorBidi" w:cstheme="majorBidi"/>
        </w:rPr>
      </w:pPr>
      <w:r w:rsidRPr="00286AF7">
        <w:rPr>
          <w:rStyle w:val="FootnoteReference"/>
          <w:rFonts w:asciiTheme="majorBidi" w:hAnsiTheme="majorBidi" w:cstheme="majorBidi"/>
        </w:rPr>
        <w:footnoteRef/>
      </w:r>
      <w:r w:rsidRPr="00286AF7">
        <w:rPr>
          <w:rFonts w:asciiTheme="majorBidi" w:hAnsiTheme="majorBidi" w:cstheme="majorBidi"/>
        </w:rPr>
        <w:t xml:space="preserve"> Makna perkelaminan mencakup pengetahuan secara biologis (alat-alat reproduksi perempuan dan laki-laki), proses reproduksi (kehamilan dan kelahiran), dan pengetahuan dan pemahaman cara penularan PMS (penyakit menular seks) dan HIV/AIDS, perkembangan diri, alat kontrasepsi, mengenai perilaku seksual beresiko, orientasi seksual yang salah dan hak-hak manusia untuk keselamatan dan keputusan untuk melakukan hubungan seks dan sebagainya. Lihat Anshori LAL, </w:t>
      </w:r>
      <w:r>
        <w:rPr>
          <w:rFonts w:asciiTheme="majorBidi" w:hAnsiTheme="majorBidi" w:cstheme="majorBidi"/>
          <w:i/>
          <w:iCs/>
        </w:rPr>
        <w:t>Pendidikan Islam Transformatif...</w:t>
      </w:r>
      <w:r w:rsidRPr="00286AF7">
        <w:rPr>
          <w:rFonts w:asciiTheme="majorBidi" w:hAnsiTheme="majorBidi" w:cstheme="majorBidi"/>
        </w:rPr>
        <w:t>, hlm. 93-94.</w:t>
      </w:r>
    </w:p>
  </w:footnote>
  <w:footnote w:id="8">
    <w:p w:rsidR="00364180" w:rsidRPr="00286AF7" w:rsidRDefault="00364180" w:rsidP="00364180">
      <w:pPr>
        <w:pStyle w:val="FootnoteText"/>
        <w:ind w:firstLine="567"/>
        <w:jc w:val="both"/>
        <w:rPr>
          <w:rFonts w:asciiTheme="majorBidi" w:hAnsiTheme="majorBidi" w:cstheme="majorBidi"/>
        </w:rPr>
      </w:pPr>
      <w:r w:rsidRPr="00286AF7">
        <w:rPr>
          <w:rStyle w:val="FootnoteReference"/>
          <w:rFonts w:asciiTheme="majorBidi" w:hAnsiTheme="majorBidi" w:cstheme="majorBidi"/>
        </w:rPr>
        <w:footnoteRef/>
      </w:r>
      <w:r w:rsidRPr="00286AF7">
        <w:rPr>
          <w:rFonts w:asciiTheme="majorBidi" w:hAnsiTheme="majorBidi" w:cstheme="majorBidi"/>
        </w:rPr>
        <w:t xml:space="preserve"> Faramarz bin Muhammad Rahbar, </w:t>
      </w:r>
      <w:r w:rsidRPr="00286AF7">
        <w:rPr>
          <w:rFonts w:asciiTheme="majorBidi" w:hAnsiTheme="majorBidi" w:cstheme="majorBidi"/>
          <w:i/>
          <w:iCs/>
        </w:rPr>
        <w:t xml:space="preserve">Selamatkan Putra-Putrimu dari Lingkungan Tidak Islami  </w:t>
      </w:r>
      <w:r w:rsidRPr="00286AF7">
        <w:rPr>
          <w:rFonts w:asciiTheme="majorBidi" w:hAnsiTheme="majorBidi" w:cstheme="majorBidi"/>
        </w:rPr>
        <w:t>terj. Kamdani (Yogyakarta: Mitra Pustaka, 1999), hlm. 121.</w:t>
      </w:r>
    </w:p>
  </w:footnote>
  <w:footnote w:id="9">
    <w:p w:rsidR="00364180" w:rsidRPr="00286AF7" w:rsidRDefault="00364180" w:rsidP="00364180">
      <w:pPr>
        <w:pStyle w:val="FootnoteText"/>
        <w:ind w:firstLine="567"/>
        <w:jc w:val="both"/>
        <w:rPr>
          <w:rFonts w:asciiTheme="majorBidi" w:hAnsiTheme="majorBidi" w:cstheme="majorBidi"/>
        </w:rPr>
      </w:pPr>
      <w:r w:rsidRPr="00286AF7">
        <w:rPr>
          <w:rStyle w:val="FootnoteReference"/>
          <w:rFonts w:asciiTheme="majorBidi" w:hAnsiTheme="majorBidi" w:cstheme="majorBidi"/>
        </w:rPr>
        <w:footnoteRef/>
      </w:r>
      <w:r w:rsidRPr="00286AF7">
        <w:rPr>
          <w:rFonts w:asciiTheme="majorBidi" w:hAnsiTheme="majorBidi" w:cstheme="majorBidi"/>
        </w:rPr>
        <w:t xml:space="preserve"> Lihat Ali Akbar, </w:t>
      </w:r>
      <w:r w:rsidRPr="00286AF7">
        <w:rPr>
          <w:rFonts w:asciiTheme="majorBidi" w:hAnsiTheme="majorBidi" w:cstheme="majorBidi"/>
          <w:i/>
          <w:iCs/>
        </w:rPr>
        <w:t xml:space="preserve">Seksualitas Ditinjau dari Hukum Islam </w:t>
      </w:r>
      <w:r w:rsidRPr="00286AF7">
        <w:rPr>
          <w:rFonts w:asciiTheme="majorBidi" w:hAnsiTheme="majorBidi" w:cstheme="majorBidi"/>
        </w:rPr>
        <w:t>(Jakarta: Ghalia Indonesia, 1983), hlm. 86-94.</w:t>
      </w:r>
    </w:p>
  </w:footnote>
  <w:footnote w:id="10">
    <w:p w:rsidR="00364180" w:rsidRPr="00286AF7" w:rsidRDefault="00364180" w:rsidP="00364180">
      <w:pPr>
        <w:pStyle w:val="FootnoteText"/>
        <w:ind w:firstLine="567"/>
        <w:jc w:val="both"/>
        <w:rPr>
          <w:rFonts w:asciiTheme="majorBidi" w:hAnsiTheme="majorBidi" w:cstheme="majorBidi"/>
        </w:rPr>
      </w:pPr>
      <w:r w:rsidRPr="00286AF7">
        <w:rPr>
          <w:rStyle w:val="FootnoteReference"/>
          <w:rFonts w:asciiTheme="majorBidi" w:hAnsiTheme="majorBidi" w:cstheme="majorBidi"/>
        </w:rPr>
        <w:footnoteRef/>
      </w:r>
      <w:r w:rsidRPr="00286AF7">
        <w:rPr>
          <w:rFonts w:asciiTheme="majorBidi" w:hAnsiTheme="majorBidi" w:cstheme="majorBidi"/>
        </w:rPr>
        <w:t xml:space="preserve"> Dalam al-Quran terdapat beberapa ayat yang berkaitan dengan kedudukan seks yaitu an-Najm (53): 45-46, an-Nisa (4): 1 dan al-Hujurat (49): 13. Lihat Muhamad Thalib, </w:t>
      </w:r>
      <w:r w:rsidRPr="00286AF7">
        <w:rPr>
          <w:rFonts w:asciiTheme="majorBidi" w:hAnsiTheme="majorBidi" w:cstheme="majorBidi"/>
          <w:i/>
          <w:iCs/>
        </w:rPr>
        <w:t xml:space="preserve">Bimbingan Kemesraan dan Seksualitas Islami </w:t>
      </w:r>
      <w:r w:rsidRPr="00286AF7">
        <w:rPr>
          <w:rFonts w:asciiTheme="majorBidi" w:hAnsiTheme="majorBidi" w:cstheme="majorBidi"/>
        </w:rPr>
        <w:t>(Yogyakarta: Pro-U Media, 2008), hlm. 306-310.</w:t>
      </w:r>
    </w:p>
  </w:footnote>
  <w:footnote w:id="11">
    <w:p w:rsidR="00364180" w:rsidRPr="00286AF7" w:rsidRDefault="00364180" w:rsidP="00364180">
      <w:pPr>
        <w:pStyle w:val="FootnoteText"/>
        <w:ind w:firstLine="567"/>
        <w:jc w:val="both"/>
        <w:rPr>
          <w:rFonts w:asciiTheme="majorBidi" w:hAnsiTheme="majorBidi" w:cstheme="majorBidi"/>
        </w:rPr>
      </w:pPr>
      <w:r w:rsidRPr="00286AF7">
        <w:rPr>
          <w:rStyle w:val="FootnoteReference"/>
          <w:rFonts w:asciiTheme="majorBidi" w:hAnsiTheme="majorBidi" w:cstheme="majorBidi"/>
        </w:rPr>
        <w:footnoteRef/>
      </w:r>
      <w:r w:rsidRPr="00286AF7">
        <w:rPr>
          <w:rFonts w:asciiTheme="majorBidi" w:hAnsiTheme="majorBidi" w:cstheme="majorBidi"/>
        </w:rPr>
        <w:t xml:space="preserve"> Alimatul Qibtiyah, </w:t>
      </w:r>
      <w:r w:rsidRPr="00286AF7">
        <w:rPr>
          <w:rFonts w:asciiTheme="majorBidi" w:hAnsiTheme="majorBidi" w:cstheme="majorBidi"/>
          <w:i/>
          <w:iCs/>
        </w:rPr>
        <w:t xml:space="preserve">Paradigma Pendidikan Seksualitas Perspektif Islam: Teoridan Praktik </w:t>
      </w:r>
      <w:r w:rsidRPr="00286AF7">
        <w:rPr>
          <w:rFonts w:asciiTheme="majorBidi" w:hAnsiTheme="majorBidi" w:cstheme="majorBidi"/>
        </w:rPr>
        <w:t>(Yogyakarta: Kurnia Kalam Semesta, 2006), hlm. 70.</w:t>
      </w:r>
    </w:p>
  </w:footnote>
  <w:footnote w:id="12">
    <w:p w:rsidR="00364180" w:rsidRPr="00286AF7" w:rsidRDefault="00364180" w:rsidP="00364180">
      <w:pPr>
        <w:pStyle w:val="FootnoteText"/>
        <w:ind w:firstLine="567"/>
        <w:jc w:val="both"/>
        <w:rPr>
          <w:rFonts w:asciiTheme="majorBidi" w:hAnsiTheme="majorBidi" w:cstheme="majorBidi"/>
        </w:rPr>
      </w:pPr>
      <w:r w:rsidRPr="00286AF7">
        <w:rPr>
          <w:rStyle w:val="FootnoteReference"/>
          <w:rFonts w:asciiTheme="majorBidi" w:hAnsiTheme="majorBidi" w:cstheme="majorBidi"/>
        </w:rPr>
        <w:footnoteRef/>
      </w:r>
      <w:r w:rsidRPr="00286AF7">
        <w:rPr>
          <w:rFonts w:asciiTheme="majorBidi" w:hAnsiTheme="majorBidi" w:cstheme="majorBidi"/>
        </w:rPr>
        <w:t xml:space="preserve"> Heri Jauhari Muchtar, </w:t>
      </w:r>
      <w:r w:rsidRPr="00286AF7">
        <w:rPr>
          <w:rFonts w:asciiTheme="majorBidi" w:hAnsiTheme="majorBidi" w:cstheme="majorBidi"/>
          <w:i/>
          <w:iCs/>
        </w:rPr>
        <w:t xml:space="preserve">Fikih Pendidikan </w:t>
      </w:r>
      <w:r w:rsidRPr="00286AF7">
        <w:rPr>
          <w:rFonts w:asciiTheme="majorBidi" w:hAnsiTheme="majorBidi" w:cstheme="majorBidi"/>
        </w:rPr>
        <w:t xml:space="preserve">(Bangdung: Remaja Rosdakarya, 2008), hlm. 69. Masa remaja ditandai dengan pertumbuhan fisik yang sangat pesat seperti perubahan suara, tumbuhnya bulu pada tubuh bagian tertentu, tumbuhnya jakun pada pria, mulai membesarnya organ tubuh tertentu pada wanita serta berfungsinya organ-organ seksual baik pada laki-laki maupun perempuan. Masa ini juga ditandai dengan belum stabilnya emosi. Lihat </w:t>
      </w:r>
      <w:r w:rsidRPr="00286AF7">
        <w:rPr>
          <w:rFonts w:asciiTheme="majorBidi" w:hAnsiTheme="majorBidi" w:cstheme="majorBidi"/>
          <w:i/>
          <w:iCs/>
        </w:rPr>
        <w:t>ibid</w:t>
      </w:r>
      <w:r w:rsidRPr="00286AF7">
        <w:rPr>
          <w:rFonts w:asciiTheme="majorBidi" w:hAnsiTheme="majorBidi" w:cstheme="majorBidi"/>
        </w:rPr>
        <w:t>., hlm. 19.</w:t>
      </w:r>
    </w:p>
  </w:footnote>
  <w:footnote w:id="13">
    <w:p w:rsidR="00364180" w:rsidRPr="00286AF7" w:rsidRDefault="00364180" w:rsidP="00364180">
      <w:pPr>
        <w:pStyle w:val="FootnoteText"/>
        <w:ind w:firstLine="567"/>
        <w:jc w:val="both"/>
        <w:rPr>
          <w:rFonts w:asciiTheme="majorBidi" w:hAnsiTheme="majorBidi" w:cstheme="majorBidi"/>
        </w:rPr>
      </w:pPr>
      <w:r w:rsidRPr="00286AF7">
        <w:rPr>
          <w:rStyle w:val="FootnoteReference"/>
          <w:rFonts w:asciiTheme="majorBidi" w:hAnsiTheme="majorBidi" w:cstheme="majorBidi"/>
        </w:rPr>
        <w:footnoteRef/>
      </w:r>
      <w:r w:rsidRPr="00286AF7">
        <w:rPr>
          <w:rFonts w:asciiTheme="majorBidi" w:hAnsiTheme="majorBidi" w:cstheme="majorBidi"/>
        </w:rPr>
        <w:t xml:space="preserve"> Saifuddin Mujtabah dan M. Yusuf Ridwan, </w:t>
      </w:r>
      <w:r>
        <w:rPr>
          <w:rFonts w:asciiTheme="majorBidi" w:hAnsiTheme="majorBidi" w:cstheme="majorBidi"/>
          <w:i/>
          <w:iCs/>
        </w:rPr>
        <w:t>Nikmatnya Seks Islami...</w:t>
      </w:r>
      <w:r w:rsidRPr="00286AF7">
        <w:rPr>
          <w:rFonts w:asciiTheme="majorBidi" w:hAnsiTheme="majorBidi" w:cstheme="majorBidi"/>
        </w:rPr>
        <w:t>, hlm. 20.</w:t>
      </w:r>
    </w:p>
  </w:footnote>
  <w:footnote w:id="14">
    <w:p w:rsidR="00364180" w:rsidRPr="00286AF7" w:rsidRDefault="00364180" w:rsidP="00364180">
      <w:pPr>
        <w:pStyle w:val="FootnoteText"/>
        <w:ind w:firstLine="567"/>
        <w:jc w:val="both"/>
        <w:rPr>
          <w:rFonts w:asciiTheme="majorBidi" w:hAnsiTheme="majorBidi" w:cstheme="majorBidi"/>
        </w:rPr>
      </w:pPr>
      <w:r w:rsidRPr="00286AF7">
        <w:rPr>
          <w:rStyle w:val="FootnoteReference"/>
          <w:rFonts w:asciiTheme="majorBidi" w:hAnsiTheme="majorBidi" w:cstheme="majorBidi"/>
        </w:rPr>
        <w:footnoteRef/>
      </w:r>
      <w:r w:rsidRPr="00286AF7">
        <w:rPr>
          <w:rFonts w:asciiTheme="majorBidi" w:hAnsiTheme="majorBidi" w:cstheme="majorBidi"/>
        </w:rPr>
        <w:t xml:space="preserve"> Lihat Mujiburrahman, </w:t>
      </w:r>
      <w:r w:rsidRPr="00286AF7">
        <w:rPr>
          <w:rFonts w:asciiTheme="majorBidi" w:hAnsiTheme="majorBidi" w:cstheme="majorBidi"/>
          <w:i/>
          <w:iCs/>
        </w:rPr>
        <w:t xml:space="preserve">Bercermin ke Barat: Pendidikan Islam AntaraAjaran dan Kenyataan </w:t>
      </w:r>
      <w:r w:rsidRPr="00286AF7">
        <w:rPr>
          <w:rFonts w:asciiTheme="majorBidi" w:hAnsiTheme="majorBidi" w:cstheme="majorBidi"/>
        </w:rPr>
        <w:t>(Banjarmasin: Jendela, 2013), hlm. 78-79.</w:t>
      </w:r>
    </w:p>
  </w:footnote>
  <w:footnote w:id="15">
    <w:p w:rsidR="00364180" w:rsidRPr="00286AF7" w:rsidRDefault="00364180" w:rsidP="00364180">
      <w:pPr>
        <w:pStyle w:val="FootnoteText"/>
        <w:ind w:firstLine="567"/>
        <w:jc w:val="both"/>
        <w:rPr>
          <w:rFonts w:asciiTheme="majorBidi" w:hAnsiTheme="majorBidi" w:cstheme="majorBidi"/>
        </w:rPr>
      </w:pPr>
      <w:r w:rsidRPr="00286AF7">
        <w:rPr>
          <w:rStyle w:val="FootnoteReference"/>
          <w:rFonts w:asciiTheme="majorBidi" w:hAnsiTheme="majorBidi" w:cstheme="majorBidi"/>
        </w:rPr>
        <w:footnoteRef/>
      </w:r>
      <w:r w:rsidRPr="00286AF7">
        <w:rPr>
          <w:rFonts w:asciiTheme="majorBidi" w:hAnsiTheme="majorBidi" w:cstheme="majorBidi"/>
        </w:rPr>
        <w:t xml:space="preserve"> Utsman ath-Thawiil, </w:t>
      </w:r>
      <w:r>
        <w:rPr>
          <w:rFonts w:asciiTheme="majorBidi" w:hAnsiTheme="majorBidi" w:cstheme="majorBidi"/>
          <w:i/>
          <w:iCs/>
        </w:rPr>
        <w:t>Ajaran Islam...</w:t>
      </w:r>
      <w:r w:rsidRPr="00286AF7">
        <w:rPr>
          <w:rFonts w:asciiTheme="majorBidi" w:hAnsiTheme="majorBidi" w:cstheme="majorBidi"/>
        </w:rPr>
        <w:t>, hlm. 12.</w:t>
      </w:r>
    </w:p>
  </w:footnote>
  <w:footnote w:id="16">
    <w:p w:rsidR="00364180" w:rsidRPr="00286AF7" w:rsidRDefault="00364180" w:rsidP="00364180">
      <w:pPr>
        <w:pStyle w:val="FootnoteText"/>
        <w:ind w:firstLine="567"/>
        <w:jc w:val="both"/>
        <w:rPr>
          <w:rFonts w:asciiTheme="majorBidi" w:hAnsiTheme="majorBidi" w:cstheme="majorBidi"/>
        </w:rPr>
      </w:pPr>
      <w:r w:rsidRPr="00286AF7">
        <w:rPr>
          <w:rStyle w:val="FootnoteReference"/>
          <w:rFonts w:asciiTheme="majorBidi" w:hAnsiTheme="majorBidi" w:cstheme="majorBidi"/>
        </w:rPr>
        <w:footnoteRef/>
      </w:r>
      <w:r w:rsidRPr="00286AF7">
        <w:rPr>
          <w:rFonts w:asciiTheme="majorBidi" w:hAnsiTheme="majorBidi" w:cstheme="majorBidi"/>
        </w:rPr>
        <w:t xml:space="preserve"> </w:t>
      </w:r>
      <w:r>
        <w:rPr>
          <w:rFonts w:asciiTheme="majorBidi" w:hAnsiTheme="majorBidi" w:cstheme="majorBidi"/>
          <w:i/>
          <w:iCs/>
        </w:rPr>
        <w:t>Ibid.</w:t>
      </w:r>
      <w:r w:rsidRPr="00286AF7">
        <w:rPr>
          <w:rFonts w:asciiTheme="majorBidi" w:hAnsiTheme="majorBidi" w:cstheme="majorBidi"/>
        </w:rPr>
        <w:t>, hlm. 13-14.</w:t>
      </w:r>
    </w:p>
  </w:footnote>
  <w:footnote w:id="17">
    <w:p w:rsidR="00364180" w:rsidRPr="00286AF7" w:rsidRDefault="00364180" w:rsidP="00364180">
      <w:pPr>
        <w:pStyle w:val="FootnoteText"/>
        <w:ind w:firstLine="567"/>
        <w:jc w:val="both"/>
        <w:rPr>
          <w:rFonts w:asciiTheme="majorBidi" w:hAnsiTheme="majorBidi" w:cstheme="majorBidi"/>
        </w:rPr>
      </w:pPr>
      <w:r w:rsidRPr="00286AF7">
        <w:rPr>
          <w:rStyle w:val="FootnoteReference"/>
          <w:rFonts w:asciiTheme="majorBidi" w:hAnsiTheme="majorBidi" w:cstheme="majorBidi"/>
        </w:rPr>
        <w:footnoteRef/>
      </w:r>
      <w:r w:rsidRPr="00286AF7">
        <w:rPr>
          <w:rFonts w:asciiTheme="majorBidi" w:hAnsiTheme="majorBidi" w:cstheme="majorBidi"/>
        </w:rPr>
        <w:t xml:space="preserve"> </w:t>
      </w:r>
      <w:r>
        <w:rPr>
          <w:rFonts w:asciiTheme="majorBidi" w:hAnsiTheme="majorBidi" w:cstheme="majorBidi"/>
          <w:i/>
          <w:iCs/>
        </w:rPr>
        <w:t>Ibid.</w:t>
      </w:r>
      <w:r w:rsidRPr="00286AF7">
        <w:rPr>
          <w:rFonts w:asciiTheme="majorBidi" w:hAnsiTheme="majorBidi" w:cstheme="majorBidi"/>
        </w:rPr>
        <w:t>, hlm. 15-17.</w:t>
      </w:r>
    </w:p>
  </w:footnote>
  <w:footnote w:id="18">
    <w:p w:rsidR="00364180" w:rsidRPr="00286AF7" w:rsidRDefault="00364180" w:rsidP="00364180">
      <w:pPr>
        <w:pStyle w:val="FootnoteText"/>
        <w:ind w:firstLine="567"/>
        <w:jc w:val="both"/>
        <w:rPr>
          <w:rFonts w:asciiTheme="majorBidi" w:hAnsiTheme="majorBidi" w:cstheme="majorBidi"/>
        </w:rPr>
      </w:pPr>
      <w:r w:rsidRPr="00286AF7">
        <w:rPr>
          <w:rStyle w:val="FootnoteReference"/>
          <w:rFonts w:asciiTheme="majorBidi" w:hAnsiTheme="majorBidi" w:cstheme="majorBidi"/>
        </w:rPr>
        <w:footnoteRef/>
      </w:r>
      <w:r w:rsidRPr="00286AF7">
        <w:rPr>
          <w:rFonts w:asciiTheme="majorBidi" w:hAnsiTheme="majorBidi" w:cstheme="majorBidi"/>
        </w:rPr>
        <w:t xml:space="preserve"> Saifuddin Mujtabah dan M. Yusuf Ridwan, </w:t>
      </w:r>
      <w:r>
        <w:rPr>
          <w:rFonts w:asciiTheme="majorBidi" w:hAnsiTheme="majorBidi" w:cstheme="majorBidi"/>
          <w:i/>
          <w:iCs/>
        </w:rPr>
        <w:t>Nikmatnya Seks Islami...</w:t>
      </w:r>
      <w:r w:rsidRPr="00286AF7">
        <w:rPr>
          <w:rFonts w:asciiTheme="majorBidi" w:hAnsiTheme="majorBidi" w:cstheme="majorBidi"/>
        </w:rPr>
        <w:t xml:space="preserve">, hlm. 19. Bandingkan dengan pendapat Ahmad Azhar Basyir yang menyatakan bahwa kepribadian kelamin (seks) mulai tumbuh pada anak-anak setelah berusia 7 tahun </w:t>
      </w:r>
      <w:r>
        <w:rPr>
          <w:rFonts w:asciiTheme="majorBidi" w:hAnsiTheme="majorBidi" w:cstheme="majorBidi"/>
        </w:rPr>
        <w:t>(</w:t>
      </w:r>
      <w:r w:rsidRPr="00286AF7">
        <w:rPr>
          <w:rFonts w:asciiTheme="majorBidi" w:hAnsiTheme="majorBidi" w:cstheme="majorBidi"/>
        </w:rPr>
        <w:t>masa tamyiz</w:t>
      </w:r>
      <w:r>
        <w:rPr>
          <w:rFonts w:asciiTheme="majorBidi" w:hAnsiTheme="majorBidi" w:cstheme="majorBidi"/>
        </w:rPr>
        <w:t>)</w:t>
      </w:r>
      <w:r w:rsidRPr="00286AF7">
        <w:rPr>
          <w:rFonts w:asciiTheme="majorBidi" w:hAnsiTheme="majorBidi" w:cstheme="majorBidi"/>
        </w:rPr>
        <w:t>. Pada masa ini anak-anak dapat membedakan banyak hal yang baik maupun buruk dan seterusnya, terutama membedakan antara jenis kelaminnya dengan jenis lain, laki-laki ata</w:t>
      </w:r>
      <w:r>
        <w:rPr>
          <w:rFonts w:asciiTheme="majorBidi" w:hAnsiTheme="majorBidi" w:cstheme="majorBidi"/>
        </w:rPr>
        <w:t>u</w:t>
      </w:r>
      <w:r w:rsidRPr="00286AF7">
        <w:rPr>
          <w:rFonts w:asciiTheme="majorBidi" w:hAnsiTheme="majorBidi" w:cstheme="majorBidi"/>
        </w:rPr>
        <w:t xml:space="preserve"> perempuan. Pada usia 10 tahun, kesadaran pribadinya sudah memasuki masa pancaroba. Lihat Ahmad Azhar Basyir, </w:t>
      </w:r>
      <w:r w:rsidRPr="00286AF7">
        <w:rPr>
          <w:rFonts w:asciiTheme="majorBidi" w:hAnsiTheme="majorBidi" w:cstheme="majorBidi"/>
          <w:i/>
          <w:iCs/>
        </w:rPr>
        <w:t xml:space="preserve">Ajaran Islam tentang Pendidikan Seks, Hidup Berumah Tangga, Pendidikan Anak </w:t>
      </w:r>
      <w:r w:rsidRPr="00286AF7">
        <w:rPr>
          <w:rFonts w:asciiTheme="majorBidi" w:hAnsiTheme="majorBidi" w:cstheme="majorBidi"/>
        </w:rPr>
        <w:t>(Bandung: Al-Ma’arif, 1996), hlm. 11-12.</w:t>
      </w:r>
    </w:p>
  </w:footnote>
  <w:footnote w:id="19">
    <w:p w:rsidR="00364180" w:rsidRPr="00286AF7" w:rsidRDefault="00364180" w:rsidP="00364180">
      <w:pPr>
        <w:pStyle w:val="FootnoteText"/>
        <w:ind w:firstLine="567"/>
        <w:jc w:val="both"/>
        <w:rPr>
          <w:rFonts w:asciiTheme="majorBidi" w:hAnsiTheme="majorBidi" w:cstheme="majorBidi"/>
        </w:rPr>
      </w:pPr>
      <w:r w:rsidRPr="00286AF7">
        <w:rPr>
          <w:rStyle w:val="FootnoteReference"/>
          <w:rFonts w:asciiTheme="majorBidi" w:hAnsiTheme="majorBidi" w:cstheme="majorBidi"/>
        </w:rPr>
        <w:footnoteRef/>
      </w:r>
      <w:r w:rsidRPr="00286AF7">
        <w:rPr>
          <w:rFonts w:asciiTheme="majorBidi" w:hAnsiTheme="majorBidi" w:cstheme="majorBidi"/>
        </w:rPr>
        <w:t xml:space="preserve"> Lihat Mujiburrahman, </w:t>
      </w:r>
      <w:r w:rsidRPr="00286AF7">
        <w:rPr>
          <w:rFonts w:asciiTheme="majorBidi" w:hAnsiTheme="majorBidi" w:cstheme="majorBidi"/>
          <w:i/>
          <w:iCs/>
        </w:rPr>
        <w:t>Bercermin ke Barat</w:t>
      </w:r>
      <w:r>
        <w:rPr>
          <w:rFonts w:asciiTheme="majorBidi" w:hAnsiTheme="majorBidi" w:cstheme="majorBidi"/>
          <w:i/>
          <w:iCs/>
        </w:rPr>
        <w:t>...</w:t>
      </w:r>
      <w:r w:rsidRPr="00286AF7">
        <w:rPr>
          <w:rFonts w:asciiTheme="majorBidi" w:hAnsiTheme="majorBidi" w:cstheme="majorBidi"/>
        </w:rPr>
        <w:t>, hlm. 78.</w:t>
      </w:r>
    </w:p>
  </w:footnote>
  <w:footnote w:id="20">
    <w:p w:rsidR="00364180" w:rsidRPr="00286AF7" w:rsidRDefault="00364180" w:rsidP="00364180">
      <w:pPr>
        <w:pStyle w:val="FootnoteText"/>
        <w:ind w:firstLine="567"/>
        <w:jc w:val="both"/>
        <w:rPr>
          <w:rFonts w:asciiTheme="majorBidi" w:hAnsiTheme="majorBidi" w:cstheme="majorBidi"/>
        </w:rPr>
      </w:pPr>
      <w:r w:rsidRPr="00286AF7">
        <w:rPr>
          <w:rStyle w:val="FootnoteReference"/>
          <w:rFonts w:asciiTheme="majorBidi" w:hAnsiTheme="majorBidi" w:cstheme="majorBidi"/>
        </w:rPr>
        <w:footnoteRef/>
      </w:r>
      <w:r w:rsidRPr="00286AF7">
        <w:rPr>
          <w:rFonts w:asciiTheme="majorBidi" w:hAnsiTheme="majorBidi" w:cstheme="majorBidi"/>
        </w:rPr>
        <w:t xml:space="preserve"> Heri Jauhari Muchtar, </w:t>
      </w:r>
      <w:r w:rsidRPr="00286AF7">
        <w:rPr>
          <w:rFonts w:asciiTheme="majorBidi" w:hAnsiTheme="majorBidi" w:cstheme="majorBidi"/>
          <w:i/>
          <w:iCs/>
        </w:rPr>
        <w:t>Fikih Pendidikan</w:t>
      </w:r>
      <w:r>
        <w:rPr>
          <w:rFonts w:asciiTheme="majorBidi" w:hAnsiTheme="majorBidi" w:cstheme="majorBidi"/>
        </w:rPr>
        <w:t>...</w:t>
      </w:r>
      <w:r w:rsidRPr="00286AF7">
        <w:rPr>
          <w:rFonts w:asciiTheme="majorBidi" w:hAnsiTheme="majorBidi" w:cstheme="majorBidi"/>
        </w:rPr>
        <w:t>, hlm. 70.</w:t>
      </w:r>
    </w:p>
  </w:footnote>
  <w:footnote w:id="21">
    <w:p w:rsidR="00364180" w:rsidRPr="00286AF7" w:rsidRDefault="00364180" w:rsidP="00364180">
      <w:pPr>
        <w:pStyle w:val="FootnoteText"/>
        <w:ind w:firstLine="567"/>
        <w:jc w:val="both"/>
        <w:rPr>
          <w:rFonts w:asciiTheme="majorBidi" w:hAnsiTheme="majorBidi" w:cstheme="majorBidi"/>
        </w:rPr>
      </w:pPr>
      <w:r w:rsidRPr="00286AF7">
        <w:rPr>
          <w:rStyle w:val="FootnoteReference"/>
          <w:rFonts w:asciiTheme="majorBidi" w:hAnsiTheme="majorBidi" w:cstheme="majorBidi"/>
        </w:rPr>
        <w:footnoteRef/>
      </w:r>
      <w:r w:rsidRPr="00286AF7">
        <w:rPr>
          <w:rFonts w:asciiTheme="majorBidi" w:hAnsiTheme="majorBidi" w:cstheme="majorBidi"/>
        </w:rPr>
        <w:t xml:space="preserve"> Robert P. Masland dan David Estridge, </w:t>
      </w:r>
      <w:r w:rsidRPr="00286AF7">
        <w:rPr>
          <w:rFonts w:asciiTheme="majorBidi" w:hAnsiTheme="majorBidi" w:cstheme="majorBidi"/>
          <w:i/>
          <w:iCs/>
        </w:rPr>
        <w:t xml:space="preserve">Apa yang Ingin Diketahui Remaja tentang Seks </w:t>
      </w:r>
      <w:r w:rsidRPr="00286AF7">
        <w:rPr>
          <w:rFonts w:asciiTheme="majorBidi" w:hAnsiTheme="majorBidi" w:cstheme="majorBidi"/>
        </w:rPr>
        <w:t>terj. Mira T. Windy, (Jakarta: PT. Bumi Aksara, 2000), hlm. 1.</w:t>
      </w:r>
    </w:p>
  </w:footnote>
  <w:footnote w:id="22">
    <w:p w:rsidR="00364180" w:rsidRPr="00286AF7" w:rsidRDefault="00364180" w:rsidP="00364180">
      <w:pPr>
        <w:pStyle w:val="FootnoteText"/>
        <w:ind w:firstLine="567"/>
        <w:jc w:val="both"/>
        <w:rPr>
          <w:rFonts w:asciiTheme="majorBidi" w:hAnsiTheme="majorBidi" w:cstheme="majorBidi"/>
        </w:rPr>
      </w:pPr>
      <w:r w:rsidRPr="00286AF7">
        <w:rPr>
          <w:rStyle w:val="FootnoteReference"/>
          <w:rFonts w:asciiTheme="majorBidi" w:hAnsiTheme="majorBidi" w:cstheme="majorBidi"/>
        </w:rPr>
        <w:footnoteRef/>
      </w:r>
      <w:r w:rsidRPr="00286AF7">
        <w:rPr>
          <w:rFonts w:asciiTheme="majorBidi" w:hAnsiTheme="majorBidi" w:cstheme="majorBidi"/>
        </w:rPr>
        <w:t xml:space="preserve"> Sistem reproduktif adalah sebuah kelompok yang berhubungan dengan organ-organ di dalam tubuh manusia yang memiliki dua fungsi utama yaitu menjalankan berbagai macam aktivitas seksual dan mengandung (hamil) ya</w:t>
      </w:r>
      <w:r>
        <w:rPr>
          <w:rFonts w:asciiTheme="majorBidi" w:hAnsiTheme="majorBidi" w:cstheme="majorBidi"/>
        </w:rPr>
        <w:t xml:space="preserve">ng menyebabkan kelahiran. Lihat </w:t>
      </w:r>
      <w:r>
        <w:rPr>
          <w:rFonts w:asciiTheme="majorBidi" w:hAnsiTheme="majorBidi" w:cstheme="majorBidi"/>
          <w:i/>
          <w:iCs/>
        </w:rPr>
        <w:t>ibid.</w:t>
      </w:r>
      <w:r w:rsidRPr="00286AF7">
        <w:rPr>
          <w:rFonts w:asciiTheme="majorBidi" w:hAnsiTheme="majorBidi" w:cstheme="majorBidi"/>
        </w:rPr>
        <w:t>, hlm. 15.</w:t>
      </w:r>
    </w:p>
  </w:footnote>
  <w:footnote w:id="23">
    <w:p w:rsidR="00364180" w:rsidRPr="00286AF7" w:rsidRDefault="00364180" w:rsidP="00364180">
      <w:pPr>
        <w:pStyle w:val="FootnoteText"/>
        <w:ind w:firstLine="567"/>
        <w:jc w:val="both"/>
        <w:rPr>
          <w:rFonts w:asciiTheme="majorBidi" w:hAnsiTheme="majorBidi" w:cstheme="majorBidi"/>
        </w:rPr>
      </w:pPr>
      <w:r w:rsidRPr="00286AF7">
        <w:rPr>
          <w:rStyle w:val="FootnoteReference"/>
          <w:rFonts w:asciiTheme="majorBidi" w:hAnsiTheme="majorBidi" w:cstheme="majorBidi"/>
        </w:rPr>
        <w:footnoteRef/>
      </w:r>
      <w:r w:rsidRPr="00286AF7">
        <w:rPr>
          <w:rFonts w:asciiTheme="majorBidi" w:hAnsiTheme="majorBidi" w:cstheme="majorBidi"/>
        </w:rPr>
        <w:t xml:space="preserve"> Marzuki Umar Sa’abah, </w:t>
      </w:r>
      <w:r>
        <w:rPr>
          <w:rFonts w:asciiTheme="majorBidi" w:hAnsiTheme="majorBidi" w:cstheme="majorBidi"/>
          <w:i/>
          <w:iCs/>
        </w:rPr>
        <w:t>Perilaku Seks Menyimpang...</w:t>
      </w:r>
      <w:r w:rsidRPr="00286AF7">
        <w:rPr>
          <w:rFonts w:asciiTheme="majorBidi" w:hAnsiTheme="majorBidi" w:cstheme="majorBidi"/>
        </w:rPr>
        <w:t>, hlm. 243.</w:t>
      </w:r>
    </w:p>
  </w:footnote>
  <w:footnote w:id="24">
    <w:p w:rsidR="00364180" w:rsidRPr="00286AF7" w:rsidRDefault="00364180" w:rsidP="00364180">
      <w:pPr>
        <w:pStyle w:val="FootnoteText"/>
        <w:ind w:firstLine="567"/>
        <w:jc w:val="both"/>
        <w:rPr>
          <w:rFonts w:asciiTheme="majorBidi" w:hAnsiTheme="majorBidi" w:cstheme="majorBidi"/>
        </w:rPr>
      </w:pPr>
      <w:r w:rsidRPr="00286AF7">
        <w:rPr>
          <w:rStyle w:val="FootnoteReference"/>
          <w:rFonts w:asciiTheme="majorBidi" w:hAnsiTheme="majorBidi" w:cstheme="majorBidi"/>
        </w:rPr>
        <w:footnoteRef/>
      </w:r>
      <w:r w:rsidRPr="00286AF7">
        <w:rPr>
          <w:rFonts w:asciiTheme="majorBidi" w:hAnsiTheme="majorBidi" w:cstheme="majorBidi"/>
        </w:rPr>
        <w:t xml:space="preserve"> Ali Akbar, </w:t>
      </w:r>
      <w:r>
        <w:rPr>
          <w:rFonts w:asciiTheme="majorBidi" w:hAnsiTheme="majorBidi" w:cstheme="majorBidi"/>
          <w:i/>
          <w:iCs/>
        </w:rPr>
        <w:t>Seksualitas Ditinjau...</w:t>
      </w:r>
      <w:r w:rsidRPr="00286AF7">
        <w:rPr>
          <w:rFonts w:asciiTheme="majorBidi" w:hAnsiTheme="majorBidi" w:cstheme="majorBidi"/>
        </w:rPr>
        <w:t>, hlm. 40.</w:t>
      </w:r>
    </w:p>
  </w:footnote>
  <w:footnote w:id="25">
    <w:p w:rsidR="00364180" w:rsidRPr="00286AF7" w:rsidRDefault="00364180" w:rsidP="00364180">
      <w:pPr>
        <w:pStyle w:val="FootnoteText"/>
        <w:ind w:firstLine="567"/>
        <w:jc w:val="both"/>
        <w:rPr>
          <w:rFonts w:asciiTheme="majorBidi" w:hAnsiTheme="majorBidi" w:cstheme="majorBidi"/>
        </w:rPr>
      </w:pPr>
      <w:r w:rsidRPr="00286AF7">
        <w:rPr>
          <w:rStyle w:val="FootnoteReference"/>
          <w:rFonts w:asciiTheme="majorBidi" w:hAnsiTheme="majorBidi" w:cstheme="majorBidi"/>
        </w:rPr>
        <w:footnoteRef/>
      </w:r>
      <w:r w:rsidRPr="00286AF7">
        <w:rPr>
          <w:rFonts w:asciiTheme="majorBidi" w:hAnsiTheme="majorBidi" w:cstheme="majorBidi"/>
        </w:rPr>
        <w:t xml:space="preserve"> Abdullah Nashih Ulwan dan Hassan Hathout, </w:t>
      </w:r>
      <w:r w:rsidRPr="00286AF7">
        <w:rPr>
          <w:rFonts w:asciiTheme="majorBidi" w:hAnsiTheme="majorBidi" w:cstheme="majorBidi"/>
          <w:i/>
          <w:iCs/>
        </w:rPr>
        <w:t xml:space="preserve">Pendidikan Anak Menurut Islam: Pendidikan Seks </w:t>
      </w:r>
      <w:r w:rsidRPr="00286AF7">
        <w:rPr>
          <w:rFonts w:asciiTheme="majorBidi" w:hAnsiTheme="majorBidi" w:cstheme="majorBidi"/>
        </w:rPr>
        <w:t>terj. Khalilullah Ahmas Masjkur Hakim dan Jalaluddin Rakhmat (Bandung: Remaja Rosdakarya, 1992), hlm. 119.</w:t>
      </w:r>
    </w:p>
  </w:footnote>
  <w:footnote w:id="26">
    <w:p w:rsidR="00364180" w:rsidRPr="00286AF7" w:rsidRDefault="00364180" w:rsidP="00364180">
      <w:pPr>
        <w:pStyle w:val="FootnoteText"/>
        <w:ind w:firstLine="567"/>
        <w:jc w:val="both"/>
        <w:rPr>
          <w:rFonts w:asciiTheme="majorBidi" w:hAnsiTheme="majorBidi" w:cstheme="majorBidi"/>
        </w:rPr>
      </w:pPr>
      <w:r w:rsidRPr="00286AF7">
        <w:rPr>
          <w:rStyle w:val="FootnoteReference"/>
          <w:rFonts w:asciiTheme="majorBidi" w:hAnsiTheme="majorBidi" w:cstheme="majorBidi"/>
        </w:rPr>
        <w:footnoteRef/>
      </w:r>
      <w:r w:rsidRPr="00286AF7">
        <w:rPr>
          <w:rFonts w:asciiTheme="majorBidi" w:hAnsiTheme="majorBidi" w:cstheme="majorBidi"/>
        </w:rPr>
        <w:t xml:space="preserve"> </w:t>
      </w:r>
      <w:r>
        <w:rPr>
          <w:rFonts w:asciiTheme="majorBidi" w:hAnsiTheme="majorBidi" w:cstheme="majorBidi"/>
          <w:i/>
          <w:iCs/>
        </w:rPr>
        <w:t>Ibid.</w:t>
      </w:r>
      <w:r w:rsidRPr="00286AF7">
        <w:rPr>
          <w:rFonts w:asciiTheme="majorBidi" w:hAnsiTheme="majorBidi" w:cstheme="majorBidi"/>
        </w:rPr>
        <w:t>, hlm. 33.</w:t>
      </w:r>
    </w:p>
  </w:footnote>
  <w:footnote w:id="27">
    <w:p w:rsidR="00364180" w:rsidRPr="00286AF7" w:rsidRDefault="00364180" w:rsidP="00364180">
      <w:pPr>
        <w:pStyle w:val="FootnoteText"/>
        <w:ind w:firstLine="567"/>
        <w:jc w:val="both"/>
        <w:rPr>
          <w:rFonts w:asciiTheme="majorBidi" w:hAnsiTheme="majorBidi" w:cstheme="majorBidi"/>
        </w:rPr>
      </w:pPr>
      <w:r w:rsidRPr="00286AF7">
        <w:rPr>
          <w:rStyle w:val="FootnoteReference"/>
          <w:rFonts w:asciiTheme="majorBidi" w:hAnsiTheme="majorBidi" w:cstheme="majorBidi"/>
        </w:rPr>
        <w:footnoteRef/>
      </w:r>
      <w:r w:rsidRPr="00286AF7">
        <w:rPr>
          <w:rFonts w:asciiTheme="majorBidi" w:hAnsiTheme="majorBidi" w:cstheme="majorBidi"/>
        </w:rPr>
        <w:t xml:space="preserve"> Lihat </w:t>
      </w:r>
      <w:r>
        <w:rPr>
          <w:rFonts w:asciiTheme="majorBidi" w:hAnsiTheme="majorBidi" w:cstheme="majorBidi"/>
          <w:i/>
          <w:iCs/>
        </w:rPr>
        <w:t>ibid.</w:t>
      </w:r>
      <w:r w:rsidRPr="00286AF7">
        <w:rPr>
          <w:rFonts w:asciiTheme="majorBidi" w:hAnsiTheme="majorBidi" w:cstheme="majorBidi"/>
        </w:rPr>
        <w:t>, hlm. 36-41.</w:t>
      </w:r>
    </w:p>
  </w:footnote>
  <w:footnote w:id="28">
    <w:p w:rsidR="00364180" w:rsidRPr="00286AF7" w:rsidRDefault="00364180" w:rsidP="00364180">
      <w:pPr>
        <w:pStyle w:val="FootnoteText"/>
        <w:ind w:firstLine="567"/>
        <w:jc w:val="both"/>
        <w:rPr>
          <w:rFonts w:asciiTheme="majorBidi" w:hAnsiTheme="majorBidi" w:cstheme="majorBidi"/>
        </w:rPr>
      </w:pPr>
      <w:r w:rsidRPr="00286AF7">
        <w:rPr>
          <w:rStyle w:val="FootnoteReference"/>
          <w:rFonts w:asciiTheme="majorBidi" w:hAnsiTheme="majorBidi" w:cstheme="majorBidi"/>
        </w:rPr>
        <w:footnoteRef/>
      </w:r>
      <w:r w:rsidRPr="00286AF7">
        <w:rPr>
          <w:rFonts w:asciiTheme="majorBidi" w:hAnsiTheme="majorBidi" w:cstheme="majorBidi"/>
        </w:rPr>
        <w:t xml:space="preserve"> Alimatul Qibtiyah, </w:t>
      </w:r>
      <w:r w:rsidRPr="00286AF7">
        <w:rPr>
          <w:rFonts w:asciiTheme="majorBidi" w:hAnsiTheme="majorBidi" w:cstheme="majorBidi"/>
          <w:i/>
          <w:iCs/>
        </w:rPr>
        <w:t>Paradigma Pendidikan Seksualitas</w:t>
      </w:r>
      <w:r>
        <w:rPr>
          <w:rFonts w:asciiTheme="majorBidi" w:hAnsiTheme="majorBidi" w:cstheme="majorBidi"/>
          <w:i/>
          <w:iCs/>
        </w:rPr>
        <w:t>...</w:t>
      </w:r>
      <w:r w:rsidRPr="00286AF7">
        <w:rPr>
          <w:rFonts w:asciiTheme="majorBidi" w:hAnsiTheme="majorBidi" w:cstheme="majorBidi"/>
        </w:rPr>
        <w:t>, hlm. 72.</w:t>
      </w:r>
    </w:p>
  </w:footnote>
  <w:footnote w:id="29">
    <w:p w:rsidR="00364180" w:rsidRPr="00286AF7" w:rsidRDefault="00364180" w:rsidP="00364180">
      <w:pPr>
        <w:pStyle w:val="FootnoteText"/>
        <w:ind w:firstLine="567"/>
        <w:jc w:val="both"/>
        <w:rPr>
          <w:rFonts w:asciiTheme="majorBidi" w:hAnsiTheme="majorBidi" w:cstheme="majorBidi"/>
        </w:rPr>
      </w:pPr>
      <w:r w:rsidRPr="00286AF7">
        <w:rPr>
          <w:rStyle w:val="FootnoteReference"/>
          <w:rFonts w:asciiTheme="majorBidi" w:hAnsiTheme="majorBidi" w:cstheme="majorBidi"/>
        </w:rPr>
        <w:footnoteRef/>
      </w:r>
      <w:r w:rsidRPr="00286AF7">
        <w:rPr>
          <w:rFonts w:asciiTheme="majorBidi" w:hAnsiTheme="majorBidi" w:cstheme="majorBidi"/>
        </w:rPr>
        <w:t xml:space="preserve"> Anshori LAL, </w:t>
      </w:r>
      <w:r w:rsidRPr="00286AF7">
        <w:rPr>
          <w:rFonts w:asciiTheme="majorBidi" w:hAnsiTheme="majorBidi" w:cstheme="majorBidi"/>
          <w:i/>
          <w:iCs/>
        </w:rPr>
        <w:t>Pendidikan Islam Transformatif</w:t>
      </w:r>
      <w:r>
        <w:rPr>
          <w:rFonts w:asciiTheme="majorBidi" w:hAnsiTheme="majorBidi" w:cstheme="majorBidi"/>
        </w:rPr>
        <w:t>...</w:t>
      </w:r>
      <w:r w:rsidRPr="00286AF7">
        <w:rPr>
          <w:rFonts w:asciiTheme="majorBidi" w:hAnsiTheme="majorBidi" w:cstheme="majorBidi"/>
        </w:rPr>
        <w:t>, hlm. 96.</w:t>
      </w:r>
    </w:p>
  </w:footnote>
  <w:footnote w:id="30">
    <w:p w:rsidR="00364180" w:rsidRPr="00286AF7" w:rsidRDefault="00364180" w:rsidP="00364180">
      <w:pPr>
        <w:pStyle w:val="FootnoteText"/>
        <w:ind w:firstLine="567"/>
        <w:jc w:val="both"/>
        <w:rPr>
          <w:rFonts w:asciiTheme="majorBidi" w:hAnsiTheme="majorBidi" w:cstheme="majorBidi"/>
        </w:rPr>
      </w:pPr>
      <w:r w:rsidRPr="00286AF7">
        <w:rPr>
          <w:rStyle w:val="FootnoteReference"/>
          <w:rFonts w:asciiTheme="majorBidi" w:hAnsiTheme="majorBidi" w:cstheme="majorBidi"/>
        </w:rPr>
        <w:footnoteRef/>
      </w:r>
      <w:r w:rsidRPr="00286AF7">
        <w:rPr>
          <w:rFonts w:asciiTheme="majorBidi" w:hAnsiTheme="majorBidi" w:cstheme="majorBidi"/>
        </w:rPr>
        <w:t xml:space="preserve"> Utsman ath-Thawiil, </w:t>
      </w:r>
      <w:r w:rsidRPr="00286AF7">
        <w:rPr>
          <w:rFonts w:asciiTheme="majorBidi" w:hAnsiTheme="majorBidi" w:cstheme="majorBidi"/>
          <w:i/>
          <w:iCs/>
        </w:rPr>
        <w:t>Ajaran Islam</w:t>
      </w:r>
      <w:r>
        <w:rPr>
          <w:rFonts w:asciiTheme="majorBidi" w:hAnsiTheme="majorBidi" w:cstheme="majorBidi"/>
          <w:i/>
          <w:iCs/>
        </w:rPr>
        <w:t>...</w:t>
      </w:r>
      <w:r w:rsidRPr="00286AF7">
        <w:rPr>
          <w:rFonts w:asciiTheme="majorBidi" w:hAnsiTheme="majorBidi" w:cstheme="majorBidi"/>
        </w:rPr>
        <w:t>, hlm. xvi-xvii.</w:t>
      </w:r>
    </w:p>
  </w:footnote>
  <w:footnote w:id="31">
    <w:p w:rsidR="00364180" w:rsidRPr="00286AF7" w:rsidRDefault="00364180" w:rsidP="00364180">
      <w:pPr>
        <w:pStyle w:val="FootnoteText"/>
        <w:ind w:firstLine="567"/>
        <w:jc w:val="both"/>
        <w:rPr>
          <w:rFonts w:asciiTheme="majorBidi" w:hAnsiTheme="majorBidi" w:cstheme="majorBidi"/>
        </w:rPr>
      </w:pPr>
      <w:r w:rsidRPr="00286AF7">
        <w:rPr>
          <w:rStyle w:val="FootnoteReference"/>
          <w:rFonts w:asciiTheme="majorBidi" w:hAnsiTheme="majorBidi" w:cstheme="majorBidi"/>
        </w:rPr>
        <w:footnoteRef/>
      </w:r>
      <w:r w:rsidRPr="00286AF7">
        <w:rPr>
          <w:rFonts w:asciiTheme="majorBidi" w:hAnsiTheme="majorBidi" w:cstheme="majorBidi"/>
        </w:rPr>
        <w:t xml:space="preserve"> Lihat J. Mark Halstead dan Michael Reiss, </w:t>
      </w:r>
      <w:r w:rsidRPr="00286AF7">
        <w:rPr>
          <w:rFonts w:asciiTheme="majorBidi" w:hAnsiTheme="majorBidi" w:cstheme="majorBidi"/>
          <w:i/>
          <w:iCs/>
        </w:rPr>
        <w:t xml:space="preserve">Sex Education Nilai dalam Pendidikan Seks Bagi Remaja; Dari Prinsip ke Praktek </w:t>
      </w:r>
      <w:r w:rsidRPr="00286AF7">
        <w:rPr>
          <w:rFonts w:asciiTheme="majorBidi" w:hAnsiTheme="majorBidi" w:cstheme="majorBidi"/>
        </w:rPr>
        <w:t>terj. Kuni Khairun Nisak, (Yogyakarta: Alenia Press, 2004), hlm. 274-303.</w:t>
      </w:r>
    </w:p>
  </w:footnote>
  <w:footnote w:id="32">
    <w:p w:rsidR="00364180" w:rsidRPr="00286AF7" w:rsidRDefault="00364180" w:rsidP="00364180">
      <w:pPr>
        <w:pStyle w:val="FootnoteText"/>
        <w:ind w:firstLine="567"/>
        <w:jc w:val="both"/>
        <w:rPr>
          <w:rFonts w:asciiTheme="majorBidi" w:hAnsiTheme="majorBidi" w:cstheme="majorBidi"/>
        </w:rPr>
      </w:pPr>
      <w:r w:rsidRPr="00286AF7">
        <w:rPr>
          <w:rStyle w:val="FootnoteReference"/>
          <w:rFonts w:asciiTheme="majorBidi" w:hAnsiTheme="majorBidi" w:cstheme="majorBidi"/>
        </w:rPr>
        <w:footnoteRef/>
      </w:r>
      <w:r w:rsidRPr="00286AF7">
        <w:rPr>
          <w:rFonts w:asciiTheme="majorBidi" w:hAnsiTheme="majorBidi" w:cstheme="majorBidi"/>
        </w:rPr>
        <w:t xml:space="preserve"> Marzuki Umar Sa’abah, </w:t>
      </w:r>
      <w:r w:rsidRPr="00286AF7">
        <w:rPr>
          <w:rFonts w:asciiTheme="majorBidi" w:hAnsiTheme="majorBidi" w:cstheme="majorBidi"/>
          <w:i/>
          <w:iCs/>
        </w:rPr>
        <w:t>Perilaku Seks Menyimpang</w:t>
      </w:r>
      <w:r>
        <w:rPr>
          <w:rFonts w:asciiTheme="majorBidi" w:hAnsiTheme="majorBidi" w:cstheme="majorBidi"/>
          <w:i/>
          <w:iCs/>
        </w:rPr>
        <w:t>...</w:t>
      </w:r>
      <w:r w:rsidRPr="00286AF7">
        <w:rPr>
          <w:rFonts w:asciiTheme="majorBidi" w:hAnsiTheme="majorBidi" w:cstheme="majorBidi"/>
        </w:rPr>
        <w:t xml:space="preserve">, hlm. 244. Lihat juga Ali Akbar, </w:t>
      </w:r>
      <w:r w:rsidRPr="00286AF7">
        <w:rPr>
          <w:rFonts w:asciiTheme="majorBidi" w:hAnsiTheme="majorBidi" w:cstheme="majorBidi"/>
          <w:i/>
          <w:iCs/>
        </w:rPr>
        <w:t>Seksualitas Ditinjau</w:t>
      </w:r>
      <w:r>
        <w:rPr>
          <w:rFonts w:asciiTheme="majorBidi" w:hAnsiTheme="majorBidi" w:cstheme="majorBidi"/>
          <w:i/>
          <w:iCs/>
        </w:rPr>
        <w:t>...</w:t>
      </w:r>
      <w:r w:rsidRPr="00286AF7">
        <w:rPr>
          <w:rFonts w:asciiTheme="majorBidi" w:hAnsiTheme="majorBidi" w:cstheme="majorBidi"/>
        </w:rPr>
        <w:t xml:space="preserve">, hlm. 17 dan Marzuki Umar Sa’abah, </w:t>
      </w:r>
      <w:r w:rsidRPr="00286AF7">
        <w:rPr>
          <w:rFonts w:asciiTheme="majorBidi" w:hAnsiTheme="majorBidi" w:cstheme="majorBidi"/>
          <w:i/>
          <w:iCs/>
        </w:rPr>
        <w:t>Perilaku Seks Menyimpang</w:t>
      </w:r>
      <w:r>
        <w:rPr>
          <w:rFonts w:asciiTheme="majorBidi" w:hAnsiTheme="majorBidi" w:cstheme="majorBidi"/>
          <w:i/>
          <w:iCs/>
        </w:rPr>
        <w:t>...</w:t>
      </w:r>
      <w:r w:rsidRPr="00286AF7">
        <w:rPr>
          <w:rFonts w:asciiTheme="majorBidi" w:hAnsiTheme="majorBidi" w:cstheme="majorBidi"/>
        </w:rPr>
        <w:t>, hlm. 251.</w:t>
      </w:r>
    </w:p>
  </w:footnote>
  <w:footnote w:id="33">
    <w:p w:rsidR="00364180" w:rsidRPr="00286AF7" w:rsidRDefault="00364180" w:rsidP="00364180">
      <w:pPr>
        <w:pStyle w:val="FootnoteText"/>
        <w:ind w:firstLine="567"/>
        <w:jc w:val="both"/>
        <w:rPr>
          <w:rFonts w:asciiTheme="majorBidi" w:hAnsiTheme="majorBidi" w:cstheme="majorBidi"/>
        </w:rPr>
      </w:pPr>
      <w:r w:rsidRPr="00286AF7">
        <w:rPr>
          <w:rStyle w:val="FootnoteReference"/>
          <w:rFonts w:asciiTheme="majorBidi" w:hAnsiTheme="majorBidi" w:cstheme="majorBidi"/>
        </w:rPr>
        <w:footnoteRef/>
      </w:r>
      <w:r w:rsidRPr="00286AF7">
        <w:rPr>
          <w:rFonts w:asciiTheme="majorBidi" w:hAnsiTheme="majorBidi" w:cstheme="majorBidi"/>
        </w:rPr>
        <w:t xml:space="preserve"> Ali Akbar, </w:t>
      </w:r>
      <w:r w:rsidRPr="00286AF7">
        <w:rPr>
          <w:rFonts w:asciiTheme="majorBidi" w:hAnsiTheme="majorBidi" w:cstheme="majorBidi"/>
          <w:i/>
          <w:iCs/>
        </w:rPr>
        <w:t>Seksualitas Ditinjau</w:t>
      </w:r>
      <w:r>
        <w:rPr>
          <w:rFonts w:asciiTheme="majorBidi" w:hAnsiTheme="majorBidi" w:cstheme="majorBidi"/>
          <w:i/>
          <w:iCs/>
        </w:rPr>
        <w:t>...</w:t>
      </w:r>
      <w:r w:rsidRPr="00286AF7">
        <w:rPr>
          <w:rFonts w:asciiTheme="majorBidi" w:hAnsiTheme="majorBidi" w:cstheme="majorBidi"/>
        </w:rPr>
        <w:t>, hlm. 26.</w:t>
      </w:r>
    </w:p>
  </w:footnote>
  <w:footnote w:id="34">
    <w:p w:rsidR="00364180" w:rsidRPr="00286AF7" w:rsidRDefault="00364180" w:rsidP="00364180">
      <w:pPr>
        <w:pStyle w:val="FootnoteText"/>
        <w:ind w:firstLine="567"/>
        <w:jc w:val="both"/>
        <w:rPr>
          <w:rFonts w:asciiTheme="majorBidi" w:hAnsiTheme="majorBidi" w:cstheme="majorBidi"/>
        </w:rPr>
      </w:pPr>
      <w:r w:rsidRPr="00286AF7">
        <w:rPr>
          <w:rStyle w:val="FootnoteReference"/>
          <w:rFonts w:asciiTheme="majorBidi" w:hAnsiTheme="majorBidi" w:cstheme="majorBidi"/>
        </w:rPr>
        <w:footnoteRef/>
      </w:r>
      <w:r w:rsidRPr="00286AF7">
        <w:rPr>
          <w:rFonts w:asciiTheme="majorBidi" w:hAnsiTheme="majorBidi" w:cstheme="majorBidi"/>
        </w:rPr>
        <w:t xml:space="preserve"> Lihat Anshori LAL, </w:t>
      </w:r>
      <w:r w:rsidRPr="00286AF7">
        <w:rPr>
          <w:rFonts w:asciiTheme="majorBidi" w:hAnsiTheme="majorBidi" w:cstheme="majorBidi"/>
          <w:i/>
          <w:iCs/>
        </w:rPr>
        <w:t>Pendidikan Islam Transformatif</w:t>
      </w:r>
      <w:r>
        <w:rPr>
          <w:rFonts w:asciiTheme="majorBidi" w:hAnsiTheme="majorBidi" w:cstheme="majorBidi"/>
        </w:rPr>
        <w:t>...</w:t>
      </w:r>
      <w:r w:rsidRPr="00286AF7">
        <w:rPr>
          <w:rFonts w:asciiTheme="majorBidi" w:hAnsiTheme="majorBidi" w:cstheme="majorBidi"/>
        </w:rPr>
        <w:t>, hlm. 101-108.</w:t>
      </w:r>
    </w:p>
  </w:footnote>
  <w:footnote w:id="35">
    <w:p w:rsidR="00364180" w:rsidRPr="00286AF7" w:rsidRDefault="00364180" w:rsidP="00364180">
      <w:pPr>
        <w:pStyle w:val="FootnoteText"/>
        <w:ind w:firstLine="567"/>
        <w:jc w:val="both"/>
        <w:rPr>
          <w:rFonts w:asciiTheme="majorBidi" w:hAnsiTheme="majorBidi" w:cstheme="majorBidi"/>
        </w:rPr>
      </w:pPr>
      <w:r w:rsidRPr="00286AF7">
        <w:rPr>
          <w:rStyle w:val="FootnoteReference"/>
          <w:rFonts w:asciiTheme="majorBidi" w:hAnsiTheme="majorBidi" w:cstheme="majorBidi"/>
        </w:rPr>
        <w:footnoteRef/>
      </w:r>
      <w:r w:rsidRPr="00286AF7">
        <w:rPr>
          <w:rFonts w:asciiTheme="majorBidi" w:hAnsiTheme="majorBidi" w:cstheme="majorBidi"/>
        </w:rPr>
        <w:t xml:space="preserve"> Abdullah Nashih Ulwan dan Hassan Hathout, </w:t>
      </w:r>
      <w:r>
        <w:rPr>
          <w:rFonts w:asciiTheme="majorBidi" w:hAnsiTheme="majorBidi" w:cstheme="majorBidi"/>
          <w:i/>
          <w:iCs/>
        </w:rPr>
        <w:t>Pendidikan Anak...</w:t>
      </w:r>
      <w:r w:rsidRPr="00286AF7">
        <w:rPr>
          <w:rFonts w:asciiTheme="majorBidi" w:hAnsiTheme="majorBidi" w:cstheme="majorBidi"/>
        </w:rPr>
        <w:t>, hlm. 149.</w:t>
      </w:r>
    </w:p>
  </w:footnote>
  <w:footnote w:id="36">
    <w:p w:rsidR="00364180" w:rsidRPr="00286AF7" w:rsidRDefault="00364180" w:rsidP="00364180">
      <w:pPr>
        <w:pStyle w:val="FootnoteText"/>
        <w:ind w:firstLine="567"/>
        <w:jc w:val="both"/>
        <w:rPr>
          <w:rFonts w:asciiTheme="majorBidi" w:hAnsiTheme="majorBidi" w:cstheme="majorBidi"/>
        </w:rPr>
      </w:pPr>
      <w:r w:rsidRPr="00286AF7">
        <w:rPr>
          <w:rStyle w:val="FootnoteReference"/>
          <w:rFonts w:asciiTheme="majorBidi" w:hAnsiTheme="majorBidi" w:cstheme="majorBidi"/>
        </w:rPr>
        <w:footnoteRef/>
      </w:r>
      <w:r w:rsidRPr="00286AF7">
        <w:rPr>
          <w:rFonts w:asciiTheme="majorBidi" w:hAnsiTheme="majorBidi" w:cstheme="majorBidi"/>
        </w:rPr>
        <w:t xml:space="preserve"> Lihat Bgd. Armaidi Tanjung, </w:t>
      </w:r>
      <w:r w:rsidRPr="00286AF7">
        <w:rPr>
          <w:rFonts w:asciiTheme="majorBidi" w:hAnsiTheme="majorBidi" w:cstheme="majorBidi"/>
          <w:i/>
          <w:iCs/>
        </w:rPr>
        <w:t xml:space="preserve">Free Sex No! Nikah Yes! </w:t>
      </w:r>
      <w:r w:rsidRPr="00286AF7">
        <w:rPr>
          <w:rFonts w:asciiTheme="majorBidi" w:hAnsiTheme="majorBidi" w:cstheme="majorBidi"/>
        </w:rPr>
        <w:t>(Jakarta: Amzah, 2007), hlm. 3-46.</w:t>
      </w:r>
    </w:p>
  </w:footnote>
  <w:footnote w:id="37">
    <w:p w:rsidR="00364180" w:rsidRPr="00286AF7" w:rsidRDefault="00364180" w:rsidP="00364180">
      <w:pPr>
        <w:pStyle w:val="FootnoteText"/>
        <w:ind w:firstLine="567"/>
        <w:jc w:val="both"/>
        <w:rPr>
          <w:rFonts w:asciiTheme="majorBidi" w:hAnsiTheme="majorBidi" w:cstheme="majorBidi"/>
        </w:rPr>
      </w:pPr>
      <w:r w:rsidRPr="00286AF7">
        <w:rPr>
          <w:rStyle w:val="FootnoteReference"/>
          <w:rFonts w:asciiTheme="majorBidi" w:hAnsiTheme="majorBidi" w:cstheme="majorBidi"/>
        </w:rPr>
        <w:footnoteRef/>
      </w:r>
      <w:r w:rsidRPr="00286AF7">
        <w:rPr>
          <w:rFonts w:asciiTheme="majorBidi" w:hAnsiTheme="majorBidi" w:cstheme="majorBidi"/>
        </w:rPr>
        <w:t xml:space="preserve"> Kumpul kebo adalah hubungan seks yang dilakukan berulang-ulang oleh seorang laki-laki dan perempuan sebagaimana layaknya pasangan suami isteri, namun tidak diikat oleh akad nikah dalam sebuah pernikahan. Pasangan kumpul kebo hidup serumah. Perbuatan ini melakukan hubungan seks seperti kerbau (kebo) tanpa ada ikatan melalui pernikahan yang sah. Lihat </w:t>
      </w:r>
      <w:r>
        <w:rPr>
          <w:rFonts w:asciiTheme="majorBidi" w:hAnsiTheme="majorBidi" w:cstheme="majorBidi"/>
          <w:i/>
          <w:iCs/>
        </w:rPr>
        <w:t>ibid.</w:t>
      </w:r>
      <w:r w:rsidRPr="00286AF7">
        <w:rPr>
          <w:rFonts w:asciiTheme="majorBidi" w:hAnsiTheme="majorBidi" w:cstheme="majorBidi"/>
        </w:rPr>
        <w:t>, hlm. 7-8.</w:t>
      </w:r>
    </w:p>
  </w:footnote>
  <w:footnote w:id="38">
    <w:p w:rsidR="00364180" w:rsidRPr="00286AF7" w:rsidRDefault="00364180" w:rsidP="00364180">
      <w:pPr>
        <w:pStyle w:val="FootnoteText"/>
        <w:ind w:firstLine="567"/>
        <w:jc w:val="both"/>
        <w:rPr>
          <w:rFonts w:asciiTheme="majorBidi" w:hAnsiTheme="majorBidi" w:cstheme="majorBidi"/>
        </w:rPr>
      </w:pPr>
      <w:r w:rsidRPr="00286AF7">
        <w:rPr>
          <w:rStyle w:val="FootnoteReference"/>
          <w:rFonts w:asciiTheme="majorBidi" w:hAnsiTheme="majorBidi" w:cstheme="majorBidi"/>
        </w:rPr>
        <w:footnoteRef/>
      </w:r>
      <w:r w:rsidRPr="00286AF7">
        <w:rPr>
          <w:rFonts w:asciiTheme="majorBidi" w:hAnsiTheme="majorBidi" w:cstheme="majorBidi"/>
        </w:rPr>
        <w:t xml:space="preserve"> Pelacuran adalah perbuatan hubungan seks bebas di luar pernikahan yang sah antara laki-laki dan perempuan dengan motif pemuasan nafsu seks yang salah satu pihak memberikan imbalan jasa pada pihak lainnya. Lihat </w:t>
      </w:r>
      <w:r>
        <w:rPr>
          <w:rFonts w:asciiTheme="majorBidi" w:hAnsiTheme="majorBidi" w:cstheme="majorBidi"/>
          <w:i/>
          <w:iCs/>
        </w:rPr>
        <w:t>ibid.</w:t>
      </w:r>
      <w:r w:rsidRPr="00286AF7">
        <w:rPr>
          <w:rFonts w:asciiTheme="majorBidi" w:hAnsiTheme="majorBidi" w:cstheme="majorBidi"/>
        </w:rPr>
        <w:t>, hlm. 13-14.</w:t>
      </w:r>
    </w:p>
  </w:footnote>
  <w:footnote w:id="39">
    <w:p w:rsidR="00364180" w:rsidRPr="00286AF7" w:rsidRDefault="00364180" w:rsidP="00364180">
      <w:pPr>
        <w:pStyle w:val="FootnoteText"/>
        <w:ind w:firstLine="567"/>
        <w:jc w:val="both"/>
        <w:rPr>
          <w:rFonts w:asciiTheme="majorBidi" w:hAnsiTheme="majorBidi" w:cstheme="majorBidi"/>
        </w:rPr>
      </w:pPr>
      <w:r w:rsidRPr="00286AF7">
        <w:rPr>
          <w:rStyle w:val="FootnoteReference"/>
          <w:rFonts w:asciiTheme="majorBidi" w:hAnsiTheme="majorBidi" w:cstheme="majorBidi"/>
        </w:rPr>
        <w:footnoteRef/>
      </w:r>
      <w:r w:rsidRPr="00286AF7">
        <w:rPr>
          <w:rFonts w:asciiTheme="majorBidi" w:hAnsiTheme="majorBidi" w:cstheme="majorBidi"/>
        </w:rPr>
        <w:t xml:space="preserve"> Gigolo adalah kebalikan dari pelacuran. Pelacuran merujuk pada laki-laki yang butuh nafsu seksnya dipuaskan oleh perempuan. Sementara gigolo merujuk pada wanita yang ingin nafsu seksnya dipuaskan oleh laki-laki, dengan memberikan imbalan pada laki-laki yang diinginkannya. Lihat </w:t>
      </w:r>
      <w:r>
        <w:rPr>
          <w:rFonts w:asciiTheme="majorBidi" w:hAnsiTheme="majorBidi" w:cstheme="majorBidi"/>
          <w:i/>
          <w:iCs/>
        </w:rPr>
        <w:t>ibid.</w:t>
      </w:r>
      <w:r w:rsidRPr="00286AF7">
        <w:rPr>
          <w:rFonts w:asciiTheme="majorBidi" w:hAnsiTheme="majorBidi" w:cstheme="majorBidi"/>
        </w:rPr>
        <w:t>, hlm. 26-27.</w:t>
      </w:r>
    </w:p>
  </w:footnote>
  <w:footnote w:id="40">
    <w:p w:rsidR="00364180" w:rsidRPr="00286AF7" w:rsidRDefault="00364180" w:rsidP="00364180">
      <w:pPr>
        <w:pStyle w:val="FootnoteText"/>
        <w:ind w:firstLine="567"/>
        <w:jc w:val="both"/>
        <w:rPr>
          <w:rFonts w:asciiTheme="majorBidi" w:hAnsiTheme="majorBidi" w:cstheme="majorBidi"/>
        </w:rPr>
      </w:pPr>
      <w:r w:rsidRPr="00286AF7">
        <w:rPr>
          <w:rStyle w:val="FootnoteReference"/>
          <w:rFonts w:asciiTheme="majorBidi" w:hAnsiTheme="majorBidi" w:cstheme="majorBidi"/>
        </w:rPr>
        <w:footnoteRef/>
      </w:r>
      <w:r w:rsidRPr="00286AF7">
        <w:rPr>
          <w:rFonts w:asciiTheme="majorBidi" w:hAnsiTheme="majorBidi" w:cstheme="majorBidi"/>
        </w:rPr>
        <w:t xml:space="preserve"> Perbuatan homoseksual (</w:t>
      </w:r>
      <w:r w:rsidRPr="00286AF7">
        <w:rPr>
          <w:rFonts w:asciiTheme="majorBidi" w:hAnsiTheme="majorBidi" w:cstheme="majorBidi"/>
          <w:i/>
          <w:iCs/>
        </w:rPr>
        <w:t>homosexual acts</w:t>
      </w:r>
      <w:r w:rsidRPr="00286AF7">
        <w:rPr>
          <w:rFonts w:asciiTheme="majorBidi" w:hAnsiTheme="majorBidi" w:cstheme="majorBidi"/>
        </w:rPr>
        <w:t>) atau perilaku homoseksual (</w:t>
      </w:r>
      <w:r w:rsidRPr="00286AF7">
        <w:rPr>
          <w:rFonts w:asciiTheme="majorBidi" w:hAnsiTheme="majorBidi" w:cstheme="majorBidi"/>
          <w:i/>
          <w:iCs/>
        </w:rPr>
        <w:t>homosexual behavior</w:t>
      </w:r>
      <w:r w:rsidRPr="00286AF7">
        <w:rPr>
          <w:rFonts w:asciiTheme="majorBidi" w:hAnsiTheme="majorBidi" w:cstheme="majorBidi"/>
        </w:rPr>
        <w:t xml:space="preserve">) mengacu pada kegiatan atau perilaku seksual antara dua orang yang berjenis kelamin sama. Jika dilakukan oleh sesama laki-laki disebut sebagai gay, sedangkan jika dilakukan sesama perempuan disebut lesbian. Lihat </w:t>
      </w:r>
      <w:r>
        <w:rPr>
          <w:rFonts w:asciiTheme="majorBidi" w:hAnsiTheme="majorBidi" w:cstheme="majorBidi"/>
          <w:i/>
          <w:iCs/>
        </w:rPr>
        <w:t>ibid.</w:t>
      </w:r>
      <w:r w:rsidRPr="00286AF7">
        <w:rPr>
          <w:rFonts w:asciiTheme="majorBidi" w:hAnsiTheme="majorBidi" w:cstheme="majorBidi"/>
        </w:rPr>
        <w:t>, hlm.28-36.</w:t>
      </w:r>
    </w:p>
  </w:footnote>
  <w:footnote w:id="41">
    <w:p w:rsidR="00364180" w:rsidRPr="00286AF7" w:rsidRDefault="00364180" w:rsidP="00364180">
      <w:pPr>
        <w:pStyle w:val="FootnoteText"/>
        <w:ind w:firstLine="567"/>
        <w:jc w:val="both"/>
        <w:rPr>
          <w:rFonts w:asciiTheme="majorBidi" w:hAnsiTheme="majorBidi" w:cstheme="majorBidi"/>
        </w:rPr>
      </w:pPr>
      <w:r w:rsidRPr="00286AF7">
        <w:rPr>
          <w:rStyle w:val="FootnoteReference"/>
          <w:rFonts w:asciiTheme="majorBidi" w:hAnsiTheme="majorBidi" w:cstheme="majorBidi"/>
        </w:rPr>
        <w:footnoteRef/>
      </w:r>
      <w:r w:rsidRPr="00286AF7">
        <w:rPr>
          <w:rFonts w:asciiTheme="majorBidi" w:hAnsiTheme="majorBidi" w:cstheme="majorBidi"/>
        </w:rPr>
        <w:t xml:space="preserve"> Perkosaan merupakan perbuatan seks bebas di luar pernikahan yang merugikan pihak lain yang diperkosa yakni perempuan. Perkosaan dilakukan dengan kekerasan karena dilakukan bukan atas dasar suka sama suka. Lihat </w:t>
      </w:r>
      <w:r>
        <w:rPr>
          <w:rFonts w:asciiTheme="majorBidi" w:hAnsiTheme="majorBidi" w:cstheme="majorBidi"/>
          <w:i/>
          <w:iCs/>
        </w:rPr>
        <w:t>ibid.</w:t>
      </w:r>
      <w:r w:rsidRPr="00286AF7">
        <w:rPr>
          <w:rFonts w:asciiTheme="majorBidi" w:hAnsiTheme="majorBidi" w:cstheme="majorBidi"/>
        </w:rPr>
        <w:t>, hlm. 36-37.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E1323"/>
    <w:multiLevelType w:val="hybridMultilevel"/>
    <w:tmpl w:val="ED92ADBC"/>
    <w:lvl w:ilvl="0" w:tplc="8D50BF4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80B2F63"/>
    <w:multiLevelType w:val="hybridMultilevel"/>
    <w:tmpl w:val="54FA51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844514C"/>
    <w:multiLevelType w:val="hybridMultilevel"/>
    <w:tmpl w:val="A57022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0F8380A"/>
    <w:multiLevelType w:val="hybridMultilevel"/>
    <w:tmpl w:val="02D604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9A91606"/>
    <w:multiLevelType w:val="hybridMultilevel"/>
    <w:tmpl w:val="2E9C94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D73747A"/>
    <w:multiLevelType w:val="hybridMultilevel"/>
    <w:tmpl w:val="02A608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BF45F4E"/>
    <w:multiLevelType w:val="hybridMultilevel"/>
    <w:tmpl w:val="123CD5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6DC45E8"/>
    <w:multiLevelType w:val="hybridMultilevel"/>
    <w:tmpl w:val="CE9E43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89910B8"/>
    <w:multiLevelType w:val="hybridMultilevel"/>
    <w:tmpl w:val="1E028A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E2C4E1C"/>
    <w:multiLevelType w:val="hybridMultilevel"/>
    <w:tmpl w:val="9EEE85C2"/>
    <w:lvl w:ilvl="0" w:tplc="EB023E42">
      <w:start w:val="1"/>
      <w:numFmt w:val="decimal"/>
      <w:lvlText w:val="%1."/>
      <w:lvlJc w:val="left"/>
      <w:pPr>
        <w:ind w:left="1080" w:hanging="360"/>
      </w:pPr>
      <w:rPr>
        <w:rFonts w:asciiTheme="majorBidi" w:eastAsiaTheme="minorHAnsi" w:hAnsiTheme="majorBidi" w:cstheme="majorBidi"/>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4F3F67B8"/>
    <w:multiLevelType w:val="hybridMultilevel"/>
    <w:tmpl w:val="6ACEFE6E"/>
    <w:lvl w:ilvl="0" w:tplc="83D891DC">
      <w:start w:val="1"/>
      <w:numFmt w:val="decimal"/>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71325A78"/>
    <w:multiLevelType w:val="hybridMultilevel"/>
    <w:tmpl w:val="81704DE6"/>
    <w:lvl w:ilvl="0" w:tplc="9260FEE6">
      <w:start w:val="1"/>
      <w:numFmt w:val="lowerLetter"/>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7D2D7AB6"/>
    <w:multiLevelType w:val="hybridMultilevel"/>
    <w:tmpl w:val="E9F8646C"/>
    <w:lvl w:ilvl="0" w:tplc="5DF27EC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6"/>
  </w:num>
  <w:num w:numId="2">
    <w:abstractNumId w:val="10"/>
  </w:num>
  <w:num w:numId="3">
    <w:abstractNumId w:val="0"/>
  </w:num>
  <w:num w:numId="4">
    <w:abstractNumId w:val="11"/>
  </w:num>
  <w:num w:numId="5">
    <w:abstractNumId w:val="5"/>
  </w:num>
  <w:num w:numId="6">
    <w:abstractNumId w:val="4"/>
  </w:num>
  <w:num w:numId="7">
    <w:abstractNumId w:val="7"/>
  </w:num>
  <w:num w:numId="8">
    <w:abstractNumId w:val="9"/>
  </w:num>
  <w:num w:numId="9">
    <w:abstractNumId w:val="1"/>
  </w:num>
  <w:num w:numId="10">
    <w:abstractNumId w:val="2"/>
  </w:num>
  <w:num w:numId="11">
    <w:abstractNumId w:val="8"/>
  </w:num>
  <w:num w:numId="12">
    <w:abstractNumId w:val="3"/>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20"/>
  <w:characterSpacingControl w:val="doNotCompress"/>
  <w:footnotePr>
    <w:footnote w:id="0"/>
    <w:footnote w:id="1"/>
  </w:footnotePr>
  <w:endnotePr>
    <w:endnote w:id="0"/>
    <w:endnote w:id="1"/>
  </w:endnotePr>
  <w:compat/>
  <w:rsids>
    <w:rsidRoot w:val="00364180"/>
    <w:rsid w:val="00364180"/>
    <w:rsid w:val="0045151E"/>
    <w:rsid w:val="009B4134"/>
    <w:rsid w:val="00B32F28"/>
    <w:rsid w:val="00B5780C"/>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180"/>
    <w:rPr>
      <w:lang w:val="en-US" w:bidi="ar-D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Char,Catatan Kaki Char Char Char Char Char,Footnote Char Char Char Char Char,Footnote Char Char Char Char,Footnote Char Char"/>
    <w:basedOn w:val="Normal"/>
    <w:link w:val="FootnoteTextChar"/>
    <w:uiPriority w:val="99"/>
    <w:rsid w:val="00364180"/>
    <w:pPr>
      <w:spacing w:after="0" w:line="240" w:lineRule="auto"/>
    </w:pPr>
    <w:rPr>
      <w:rFonts w:ascii="Times New Roman" w:eastAsia="Times New Roman" w:hAnsi="Times New Roman" w:cs="Times New Roman"/>
      <w:sz w:val="20"/>
      <w:szCs w:val="20"/>
      <w:lang w:bidi="ar-SA"/>
    </w:rPr>
  </w:style>
  <w:style w:type="character" w:customStyle="1" w:styleId="FootnoteTextChar">
    <w:name w:val="Footnote Text Char"/>
    <w:aliases w:val=" Char Char,Char Char,Catatan Kaki Char Char Char Char Char Char,Footnote Char Char Char Char Char Char,Footnote Char Char Char Char Char1,Footnote Char Char Char"/>
    <w:basedOn w:val="DefaultParagraphFont"/>
    <w:link w:val="FootnoteText"/>
    <w:uiPriority w:val="99"/>
    <w:rsid w:val="00364180"/>
    <w:rPr>
      <w:rFonts w:ascii="Times New Roman" w:eastAsia="Times New Roman" w:hAnsi="Times New Roman" w:cs="Times New Roman"/>
      <w:sz w:val="20"/>
      <w:szCs w:val="20"/>
      <w:lang w:val="en-US"/>
    </w:rPr>
  </w:style>
  <w:style w:type="character" w:styleId="FootnoteReference">
    <w:name w:val="footnote reference"/>
    <w:uiPriority w:val="99"/>
    <w:rsid w:val="00364180"/>
    <w:rPr>
      <w:rFonts w:ascii="Times New Roman" w:hAnsi="Times New Roman" w:cs="Times New Roman" w:hint="default"/>
      <w:vertAlign w:val="superscript"/>
    </w:rPr>
  </w:style>
  <w:style w:type="paragraph" w:styleId="NormalWeb">
    <w:name w:val="Normal (Web)"/>
    <w:basedOn w:val="Normal"/>
    <w:uiPriority w:val="99"/>
    <w:rsid w:val="00364180"/>
    <w:pPr>
      <w:spacing w:before="100" w:beforeAutospacing="1" w:after="100" w:afterAutospacing="1" w:line="240" w:lineRule="auto"/>
    </w:pPr>
    <w:rPr>
      <w:rFonts w:ascii="Times New Roman" w:eastAsia="Times New Roman" w:hAnsi="Times New Roman" w:cs="Times New Roman"/>
      <w:sz w:val="24"/>
      <w:szCs w:val="24"/>
      <w:lang w:val="en-SG" w:eastAsia="en-SG" w:bidi="ar-SA"/>
    </w:rPr>
  </w:style>
  <w:style w:type="paragraph" w:styleId="ListParagraph">
    <w:name w:val="List Paragraph"/>
    <w:basedOn w:val="Normal"/>
    <w:uiPriority w:val="34"/>
    <w:qFormat/>
    <w:rsid w:val="00364180"/>
    <w:pPr>
      <w:widowControl w:val="0"/>
      <w:suppressAutoHyphens/>
      <w:spacing w:after="0" w:line="240" w:lineRule="auto"/>
      <w:ind w:left="720"/>
    </w:pPr>
    <w:rPr>
      <w:rFonts w:ascii="Times New Roman" w:eastAsia="SimSun" w:hAnsi="Times New Roman" w:cs="Mangal"/>
      <w:kern w:val="1"/>
      <w:sz w:val="24"/>
      <w:szCs w:val="24"/>
      <w:lang w:eastAsia="hi-IN" w:bidi="hi-IN"/>
    </w:rPr>
  </w:style>
  <w:style w:type="paragraph" w:customStyle="1" w:styleId="5wj-">
    <w:name w:val="_5wj-"/>
    <w:basedOn w:val="Normal"/>
    <w:rsid w:val="00364180"/>
    <w:pPr>
      <w:spacing w:before="100" w:beforeAutospacing="1" w:after="100" w:afterAutospacing="1" w:line="240" w:lineRule="auto"/>
    </w:pPr>
    <w:rPr>
      <w:rFonts w:ascii="Times New Roman" w:eastAsia="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5171</Words>
  <Characters>29477</Characters>
  <Application>Microsoft Office Word</Application>
  <DocSecurity>0</DocSecurity>
  <Lines>245</Lines>
  <Paragraphs>69</Paragraphs>
  <ScaleCrop>false</ScaleCrop>
  <Company/>
  <LinksUpToDate>false</LinksUpToDate>
  <CharactersWithSpaces>34579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2017-02-05T04:21:00Z</dcterms:created>
  <dcterms:modified xsi:type="dcterms:W3CDTF">2017-02-05T04:21:00Z</dcterms:modified>
</cp:coreProperties>
</file>