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B39BC" w14:textId="10E1F10F" w:rsidR="00743404" w:rsidRDefault="00743404" w:rsidP="00E62A8A">
      <w:pPr>
        <w:spacing w:line="276" w:lineRule="auto"/>
        <w:jc w:val="center"/>
        <w:rPr>
          <w:rFonts w:ascii="Garamond" w:hAnsi="Garamond"/>
          <w:b/>
        </w:rPr>
      </w:pPr>
      <w:bookmarkStart w:id="0" w:name="_GoBack"/>
      <w:bookmarkEnd w:id="0"/>
      <w:r w:rsidRPr="00AF7656">
        <w:rPr>
          <w:rFonts w:ascii="Garamond" w:hAnsi="Garamond"/>
          <w:b/>
        </w:rPr>
        <w:t>THE AGRICULTURAL COOPERATION CONTRACT SYSTEM AND GOVERNMENT AUTHORITY ON THE WAGE MECHANISM FROM AN ISLAMIC PERSPECTIVE.</w:t>
      </w:r>
    </w:p>
    <w:p w14:paraId="4CA5889B" w14:textId="77777777" w:rsidR="00743404" w:rsidRPr="009D6885" w:rsidRDefault="00743404" w:rsidP="00E62A8A">
      <w:pPr>
        <w:spacing w:line="276" w:lineRule="auto"/>
        <w:jc w:val="center"/>
        <w:rPr>
          <w:rFonts w:ascii="Garamond" w:hAnsi="Garamond"/>
          <w:b/>
          <w:bCs/>
        </w:rPr>
      </w:pPr>
    </w:p>
    <w:p w14:paraId="05E29D78" w14:textId="77777777" w:rsidR="00743404" w:rsidRPr="009D6885" w:rsidRDefault="00743404" w:rsidP="00E62A8A">
      <w:pPr>
        <w:spacing w:line="276" w:lineRule="auto"/>
        <w:jc w:val="center"/>
        <w:rPr>
          <w:rFonts w:ascii="Garamond" w:hAnsi="Garamond"/>
          <w:b/>
          <w:bCs/>
        </w:rPr>
      </w:pPr>
      <w:r w:rsidRPr="009D6885">
        <w:rPr>
          <w:rFonts w:ascii="Garamond" w:hAnsi="Garamond"/>
          <w:b/>
          <w:bCs/>
        </w:rPr>
        <w:t>Abdul Ghoni</w:t>
      </w:r>
    </w:p>
    <w:p w14:paraId="61BFB299" w14:textId="77777777" w:rsidR="00743404" w:rsidRPr="00653275" w:rsidRDefault="00743404" w:rsidP="00E62A8A">
      <w:pPr>
        <w:spacing w:line="276" w:lineRule="auto"/>
        <w:jc w:val="center"/>
        <w:rPr>
          <w:rFonts w:ascii="Garamond" w:hAnsi="Garamond"/>
        </w:rPr>
      </w:pPr>
      <w:r>
        <w:rPr>
          <w:rFonts w:ascii="Garamond" w:hAnsi="Garamond"/>
        </w:rPr>
        <w:t xml:space="preserve">Universitas Airlangga, Surabaya </w:t>
      </w:r>
    </w:p>
    <w:p w14:paraId="123385A8" w14:textId="77777777" w:rsidR="00743404" w:rsidRPr="00653275" w:rsidRDefault="00BE08E4" w:rsidP="00E62A8A">
      <w:pPr>
        <w:spacing w:line="276" w:lineRule="auto"/>
        <w:jc w:val="center"/>
        <w:rPr>
          <w:rFonts w:ascii="Garamond" w:hAnsi="Garamond"/>
        </w:rPr>
      </w:pPr>
      <w:hyperlink r:id="rId8" w:history="1">
        <w:r w:rsidR="00743404" w:rsidRPr="00653275">
          <w:rPr>
            <w:rStyle w:val="Hyperlink"/>
            <w:rFonts w:ascii="Garamond" w:hAnsi="Garamond"/>
          </w:rPr>
          <w:t>abdul.ghoni-2019@fisip.unair.ac.id</w:t>
        </w:r>
      </w:hyperlink>
      <w:r w:rsidR="00743404" w:rsidRPr="00653275">
        <w:rPr>
          <w:rFonts w:ascii="Garamond" w:hAnsi="Garamond"/>
        </w:rPr>
        <w:t xml:space="preserve"> </w:t>
      </w:r>
    </w:p>
    <w:p w14:paraId="5B12B360" w14:textId="77777777" w:rsidR="009D6885" w:rsidRDefault="009D6885" w:rsidP="00E62A8A">
      <w:pPr>
        <w:spacing w:line="276" w:lineRule="auto"/>
        <w:jc w:val="center"/>
        <w:rPr>
          <w:rFonts w:ascii="Garamond" w:hAnsi="Garamond"/>
        </w:rPr>
      </w:pPr>
    </w:p>
    <w:p w14:paraId="5D9B2AFD" w14:textId="77777777" w:rsidR="00743404" w:rsidRPr="009D6885" w:rsidRDefault="00743404" w:rsidP="00E62A8A">
      <w:pPr>
        <w:spacing w:line="276" w:lineRule="auto"/>
        <w:jc w:val="center"/>
        <w:rPr>
          <w:rFonts w:ascii="Garamond" w:hAnsi="Garamond"/>
          <w:b/>
          <w:bCs/>
        </w:rPr>
      </w:pPr>
      <w:r w:rsidRPr="009D6885">
        <w:rPr>
          <w:rFonts w:ascii="Garamond" w:hAnsi="Garamond"/>
          <w:b/>
          <w:bCs/>
        </w:rPr>
        <w:t>Ridan Muhtadi</w:t>
      </w:r>
    </w:p>
    <w:p w14:paraId="24CD0527" w14:textId="77777777" w:rsidR="00743404" w:rsidRPr="00653275" w:rsidRDefault="00743404" w:rsidP="00E62A8A">
      <w:pPr>
        <w:spacing w:line="276" w:lineRule="auto"/>
        <w:jc w:val="center"/>
        <w:rPr>
          <w:rFonts w:ascii="Garamond" w:hAnsi="Garamond"/>
        </w:rPr>
      </w:pPr>
      <w:r w:rsidRPr="00653275">
        <w:rPr>
          <w:rFonts w:ascii="Garamond" w:hAnsi="Garamond"/>
        </w:rPr>
        <w:t>STAI Miftahul Ulum, Pamekasan</w:t>
      </w:r>
    </w:p>
    <w:p w14:paraId="684B6974" w14:textId="77777777" w:rsidR="00743404" w:rsidRPr="00653275" w:rsidRDefault="00BE08E4" w:rsidP="00E62A8A">
      <w:pPr>
        <w:spacing w:line="276" w:lineRule="auto"/>
        <w:jc w:val="center"/>
        <w:rPr>
          <w:rFonts w:ascii="Garamond" w:hAnsi="Garamond"/>
        </w:rPr>
      </w:pPr>
      <w:hyperlink r:id="rId9" w:history="1">
        <w:r w:rsidR="00743404" w:rsidRPr="00653275">
          <w:rPr>
            <w:rStyle w:val="Hyperlink"/>
            <w:rFonts w:ascii="Garamond" w:hAnsi="Garamond"/>
          </w:rPr>
          <w:t>ridanmuhtadi@gmail.com</w:t>
        </w:r>
      </w:hyperlink>
    </w:p>
    <w:p w14:paraId="777853E5" w14:textId="77777777" w:rsidR="009D6885" w:rsidRDefault="009D6885" w:rsidP="00E62A8A">
      <w:pPr>
        <w:autoSpaceDE w:val="0"/>
        <w:autoSpaceDN w:val="0"/>
        <w:adjustRightInd w:val="0"/>
        <w:spacing w:line="276" w:lineRule="auto"/>
        <w:jc w:val="center"/>
        <w:rPr>
          <w:rFonts w:ascii="Garamond" w:hAnsi="Garamond" w:cs="Garamond"/>
          <w:color w:val="000000"/>
          <w:lang w:eastAsia="id-ID"/>
        </w:rPr>
      </w:pPr>
    </w:p>
    <w:p w14:paraId="30198180" w14:textId="77777777" w:rsidR="00743404" w:rsidRPr="009D6885" w:rsidRDefault="00743404" w:rsidP="00E62A8A">
      <w:pPr>
        <w:autoSpaceDE w:val="0"/>
        <w:autoSpaceDN w:val="0"/>
        <w:adjustRightInd w:val="0"/>
        <w:spacing w:line="276" w:lineRule="auto"/>
        <w:jc w:val="center"/>
        <w:rPr>
          <w:rFonts w:ascii="Garamond" w:hAnsi="Garamond" w:cs="Garamond"/>
          <w:b/>
          <w:bCs/>
          <w:color w:val="000000"/>
          <w:lang w:eastAsia="id-ID"/>
        </w:rPr>
      </w:pPr>
      <w:r w:rsidRPr="009D6885">
        <w:rPr>
          <w:rFonts w:ascii="Garamond" w:hAnsi="Garamond" w:cs="Garamond"/>
          <w:b/>
          <w:bCs/>
          <w:color w:val="000000"/>
          <w:lang w:eastAsia="id-ID"/>
        </w:rPr>
        <w:t>Moh. Fudholi</w:t>
      </w:r>
    </w:p>
    <w:p w14:paraId="5D89D6BA" w14:textId="77777777" w:rsidR="00743404" w:rsidRPr="00653275" w:rsidRDefault="00743404" w:rsidP="00E62A8A">
      <w:pPr>
        <w:autoSpaceDE w:val="0"/>
        <w:autoSpaceDN w:val="0"/>
        <w:adjustRightInd w:val="0"/>
        <w:spacing w:line="276" w:lineRule="auto"/>
        <w:jc w:val="center"/>
        <w:rPr>
          <w:rFonts w:ascii="Garamond" w:hAnsi="Garamond" w:cs="Garamond"/>
          <w:color w:val="000000"/>
          <w:lang w:eastAsia="id-ID"/>
        </w:rPr>
      </w:pPr>
      <w:r w:rsidRPr="00653275">
        <w:rPr>
          <w:rFonts w:ascii="Garamond" w:hAnsi="Garamond" w:cs="Garamond"/>
          <w:color w:val="000000"/>
          <w:lang w:eastAsia="id-ID"/>
        </w:rPr>
        <w:t>STAI Miftahul Ulum Pamekasan</w:t>
      </w:r>
    </w:p>
    <w:p w14:paraId="0BFF8580" w14:textId="77777777" w:rsidR="00743404" w:rsidRDefault="00BE08E4" w:rsidP="00E62A8A">
      <w:pPr>
        <w:spacing w:line="276" w:lineRule="auto"/>
        <w:jc w:val="center"/>
        <w:rPr>
          <w:rFonts w:ascii="Garamond" w:hAnsi="Garamond" w:cs="Garamond"/>
          <w:color w:val="000000"/>
          <w:lang w:eastAsia="id-ID"/>
        </w:rPr>
      </w:pPr>
      <w:hyperlink r:id="rId10" w:history="1">
        <w:r w:rsidR="00743404" w:rsidRPr="00653275">
          <w:rPr>
            <w:rStyle w:val="Hyperlink"/>
            <w:rFonts w:ascii="Garamond" w:hAnsi="Garamond" w:cs="Garamond"/>
            <w:lang w:eastAsia="id-ID"/>
          </w:rPr>
          <w:t>aare_lee_81@yahoo.com</w:t>
        </w:r>
      </w:hyperlink>
    </w:p>
    <w:p w14:paraId="64B13080" w14:textId="77777777" w:rsidR="00743404" w:rsidRDefault="00743404" w:rsidP="00E62A8A">
      <w:pPr>
        <w:spacing w:line="276" w:lineRule="auto"/>
        <w:jc w:val="center"/>
        <w:rPr>
          <w:rFonts w:ascii="Garamond" w:hAnsi="Garamond" w:cs="Garamond"/>
          <w:color w:val="000000"/>
          <w:lang w:eastAsia="id-ID"/>
        </w:rPr>
      </w:pPr>
    </w:p>
    <w:p w14:paraId="7C9E96C2" w14:textId="77777777" w:rsidR="00743404" w:rsidRPr="008A343E" w:rsidRDefault="00743404" w:rsidP="00E62A8A">
      <w:pPr>
        <w:spacing w:line="276" w:lineRule="auto"/>
        <w:jc w:val="center"/>
        <w:rPr>
          <w:rFonts w:ascii="Garamond" w:hAnsi="Garamond" w:cs="Garamond"/>
          <w:b/>
          <w:bCs/>
          <w:color w:val="000000"/>
          <w:lang w:val="id-ID" w:eastAsia="id-ID"/>
        </w:rPr>
      </w:pPr>
      <w:r w:rsidRPr="008A343E">
        <w:rPr>
          <w:rFonts w:ascii="Garamond" w:hAnsi="Garamond" w:cs="Garamond"/>
          <w:b/>
          <w:bCs/>
          <w:color w:val="000000"/>
          <w:lang w:val="id-ID" w:eastAsia="id-ID"/>
        </w:rPr>
        <w:t>Abstract</w:t>
      </w:r>
    </w:p>
    <w:p w14:paraId="6B0A7EC5" w14:textId="77777777" w:rsidR="00743404" w:rsidRPr="008A343E" w:rsidRDefault="00743404" w:rsidP="00E62A8A">
      <w:pPr>
        <w:spacing w:line="276" w:lineRule="auto"/>
        <w:jc w:val="both"/>
        <w:rPr>
          <w:rFonts w:ascii="Garamond" w:hAnsi="Garamond" w:cs="Garamond"/>
          <w:color w:val="000000"/>
          <w:lang w:val="id-ID" w:eastAsia="id-ID"/>
        </w:rPr>
      </w:pPr>
      <w:r w:rsidRPr="008A343E">
        <w:rPr>
          <w:rFonts w:ascii="Garamond" w:hAnsi="Garamond" w:cs="Garamond"/>
          <w:color w:val="000000"/>
          <w:lang w:val="id-ID" w:eastAsia="id-ID"/>
        </w:rPr>
        <w:t>A mutualism symbiosis occurs in every contract in economic transactions. Cooperation agreements in the agricultural sector that are widely known and practiced in people's lives are the Mukhabarah and Muzara'ah contracts. The existence of this Mukhabarah and Muzara'ah agreement is a solution to make use of abandoned land to become productive land and provide benefits for both parties. In addition, differences in the expertise and energy of each person have consequences for the existence of Ujrah in Islamic Economics.</w:t>
      </w:r>
    </w:p>
    <w:p w14:paraId="0CAE33CC" w14:textId="77777777" w:rsidR="00743404" w:rsidRPr="008A343E" w:rsidRDefault="00743404" w:rsidP="00E62A8A">
      <w:pPr>
        <w:spacing w:line="276" w:lineRule="auto"/>
        <w:jc w:val="both"/>
        <w:rPr>
          <w:rFonts w:ascii="Garamond" w:hAnsi="Garamond" w:cs="Garamond"/>
          <w:color w:val="000000"/>
          <w:lang w:val="id-ID" w:eastAsia="id-ID"/>
        </w:rPr>
      </w:pPr>
      <w:r w:rsidRPr="008A343E">
        <w:rPr>
          <w:rFonts w:ascii="Garamond" w:hAnsi="Garamond" w:cs="Garamond"/>
          <w:b/>
          <w:bCs/>
          <w:color w:val="000000"/>
          <w:lang w:val="id-ID" w:eastAsia="id-ID"/>
        </w:rPr>
        <w:t>Keywords</w:t>
      </w:r>
      <w:r w:rsidRPr="008A343E">
        <w:rPr>
          <w:rFonts w:ascii="Garamond" w:hAnsi="Garamond" w:cs="Garamond"/>
          <w:color w:val="000000"/>
          <w:lang w:val="id-ID" w:eastAsia="id-ID"/>
        </w:rPr>
        <w:t>: Agricultural Cooperation Contract, Wages, Government</w:t>
      </w:r>
    </w:p>
    <w:p w14:paraId="1205BFB3" w14:textId="77777777" w:rsidR="00743404" w:rsidRDefault="00743404" w:rsidP="00E62A8A">
      <w:pPr>
        <w:spacing w:before="240" w:line="276" w:lineRule="auto"/>
        <w:jc w:val="center"/>
        <w:rPr>
          <w:rFonts w:ascii="Garamond" w:hAnsi="Garamond" w:cs="Garamond"/>
          <w:b/>
          <w:bCs/>
          <w:color w:val="000000"/>
          <w:lang w:val="id-ID" w:eastAsia="id-ID"/>
        </w:rPr>
      </w:pPr>
      <w:r>
        <w:rPr>
          <w:rFonts w:ascii="Garamond" w:hAnsi="Garamond" w:cs="Garamond"/>
          <w:b/>
          <w:bCs/>
          <w:color w:val="000000"/>
          <w:lang w:val="id-ID" w:eastAsia="id-ID"/>
        </w:rPr>
        <w:t>Abstrak</w:t>
      </w:r>
    </w:p>
    <w:p w14:paraId="0197FE6A" w14:textId="77777777" w:rsidR="00743404" w:rsidRDefault="00743404" w:rsidP="00E62A8A">
      <w:pPr>
        <w:spacing w:line="276" w:lineRule="auto"/>
        <w:jc w:val="both"/>
        <w:rPr>
          <w:rFonts w:ascii="Garamond" w:hAnsi="Garamond"/>
        </w:rPr>
      </w:pPr>
      <w:r>
        <w:rPr>
          <w:rFonts w:ascii="Garamond" w:hAnsi="Garamond"/>
          <w:lang w:val="id-ID"/>
        </w:rPr>
        <w:t>S</w:t>
      </w:r>
      <w:r w:rsidRPr="00050436">
        <w:rPr>
          <w:rFonts w:ascii="Garamond" w:hAnsi="Garamond"/>
        </w:rPr>
        <w:t xml:space="preserve">imbiosis mutualisme </w:t>
      </w:r>
      <w:r>
        <w:rPr>
          <w:rFonts w:ascii="Garamond" w:hAnsi="Garamond"/>
          <w:lang w:val="id-ID"/>
        </w:rPr>
        <w:t xml:space="preserve">terjadi </w:t>
      </w:r>
      <w:r w:rsidRPr="00050436">
        <w:rPr>
          <w:rFonts w:ascii="Garamond" w:hAnsi="Garamond"/>
        </w:rPr>
        <w:t xml:space="preserve">dalam </w:t>
      </w:r>
      <w:r>
        <w:rPr>
          <w:rFonts w:ascii="Garamond" w:hAnsi="Garamond"/>
          <w:lang w:val="id-ID"/>
        </w:rPr>
        <w:t xml:space="preserve">setiap </w:t>
      </w:r>
      <w:r w:rsidRPr="00050436">
        <w:rPr>
          <w:rFonts w:ascii="Garamond" w:hAnsi="Garamond"/>
        </w:rPr>
        <w:t xml:space="preserve">akad </w:t>
      </w:r>
      <w:r>
        <w:rPr>
          <w:rFonts w:ascii="Garamond" w:hAnsi="Garamond"/>
          <w:lang w:val="id-ID"/>
        </w:rPr>
        <w:t>pada transaksi ekonomi</w:t>
      </w:r>
      <w:r w:rsidRPr="00050436">
        <w:rPr>
          <w:rFonts w:ascii="Garamond" w:hAnsi="Garamond"/>
        </w:rPr>
        <w:t xml:space="preserve">. Akad kerjasama dalam bidang pertanian yang sudah banyak diketahui dan dipraktikkan dalam kehidupan masyarakat adalah akad </w:t>
      </w:r>
      <w:r w:rsidRPr="00050436">
        <w:rPr>
          <w:rFonts w:ascii="Garamond" w:hAnsi="Garamond"/>
          <w:i/>
        </w:rPr>
        <w:t>Mukhabarah</w:t>
      </w:r>
      <w:r>
        <w:rPr>
          <w:rFonts w:ascii="Garamond" w:hAnsi="Garamond"/>
          <w:i/>
          <w:lang w:val="id-ID"/>
        </w:rPr>
        <w:t xml:space="preserve"> </w:t>
      </w:r>
      <w:r w:rsidRPr="00050436">
        <w:rPr>
          <w:rFonts w:ascii="Garamond" w:hAnsi="Garamond"/>
        </w:rPr>
        <w:t xml:space="preserve">dan </w:t>
      </w:r>
      <w:r w:rsidRPr="00050436">
        <w:rPr>
          <w:rFonts w:ascii="Garamond" w:hAnsi="Garamond"/>
          <w:i/>
        </w:rPr>
        <w:t xml:space="preserve">Muzara’ah. </w:t>
      </w:r>
      <w:r>
        <w:rPr>
          <w:rFonts w:ascii="Garamond" w:hAnsi="Garamond"/>
          <w:lang w:val="id-ID"/>
        </w:rPr>
        <w:t>A</w:t>
      </w:r>
      <w:r w:rsidRPr="00050436">
        <w:rPr>
          <w:rFonts w:ascii="Garamond" w:hAnsi="Garamond"/>
        </w:rPr>
        <w:t xml:space="preserve">danya akad </w:t>
      </w:r>
      <w:r w:rsidRPr="00050436">
        <w:rPr>
          <w:rFonts w:ascii="Garamond" w:hAnsi="Garamond"/>
          <w:i/>
        </w:rPr>
        <w:t xml:space="preserve">Mukhabarah </w:t>
      </w:r>
      <w:r w:rsidRPr="00050436">
        <w:rPr>
          <w:rFonts w:ascii="Garamond" w:hAnsi="Garamond"/>
        </w:rPr>
        <w:t xml:space="preserve">dan </w:t>
      </w:r>
      <w:r w:rsidRPr="00050436">
        <w:rPr>
          <w:rFonts w:ascii="Garamond" w:hAnsi="Garamond"/>
          <w:i/>
        </w:rPr>
        <w:t xml:space="preserve">Muzara’ah </w:t>
      </w:r>
      <w:r w:rsidRPr="00050436">
        <w:rPr>
          <w:rFonts w:ascii="Garamond" w:hAnsi="Garamond"/>
        </w:rPr>
        <w:t>ini sebagai solusi untuk memanfaatkan lahan yang terbengkalai menjadi lahan yang produktif dan memberikan keuntungan bagi kedua belah pihak.</w:t>
      </w:r>
      <w:r>
        <w:rPr>
          <w:rFonts w:ascii="Garamond" w:hAnsi="Garamond"/>
          <w:lang w:val="id-ID"/>
        </w:rPr>
        <w:t xml:space="preserve"> S</w:t>
      </w:r>
      <w:r w:rsidRPr="00050436">
        <w:rPr>
          <w:rFonts w:ascii="Garamond" w:hAnsi="Garamond"/>
        </w:rPr>
        <w:t xml:space="preserve">elain itu perbedaan dalam keahlian dan tenaga yang dimiliki masing-masing orang menimbulkan konsekuensi adanya </w:t>
      </w:r>
      <w:r w:rsidRPr="00050436">
        <w:rPr>
          <w:rFonts w:ascii="Garamond" w:hAnsi="Garamond"/>
          <w:i/>
        </w:rPr>
        <w:t xml:space="preserve">Ujrah </w:t>
      </w:r>
      <w:r w:rsidRPr="00050436">
        <w:rPr>
          <w:rFonts w:ascii="Garamond" w:hAnsi="Garamond"/>
        </w:rPr>
        <w:t>dalam Ekonomi Islam.</w:t>
      </w:r>
    </w:p>
    <w:p w14:paraId="3F07C774" w14:textId="77777777" w:rsidR="00743404" w:rsidRPr="003A3447" w:rsidRDefault="00743404" w:rsidP="00E62A8A">
      <w:pPr>
        <w:spacing w:line="276" w:lineRule="auto"/>
        <w:jc w:val="both"/>
        <w:rPr>
          <w:rFonts w:ascii="Garamond" w:hAnsi="Garamond"/>
          <w:lang w:val="id-ID"/>
        </w:rPr>
      </w:pPr>
      <w:r w:rsidRPr="008A343E">
        <w:rPr>
          <w:rFonts w:ascii="Garamond" w:hAnsi="Garamond"/>
          <w:b/>
          <w:bCs/>
          <w:lang w:val="id-ID"/>
        </w:rPr>
        <w:t>Kata Kunci</w:t>
      </w:r>
      <w:r>
        <w:rPr>
          <w:rFonts w:ascii="Garamond" w:hAnsi="Garamond"/>
          <w:lang w:val="id-ID"/>
        </w:rPr>
        <w:t xml:space="preserve">: Kontrak Kerjasama Pertanian, Upah, Pemerintah </w:t>
      </w:r>
    </w:p>
    <w:p w14:paraId="287B87A8" w14:textId="77777777" w:rsidR="00743404" w:rsidRPr="00050436" w:rsidRDefault="00743404" w:rsidP="00E62A8A">
      <w:pPr>
        <w:spacing w:line="276" w:lineRule="auto"/>
        <w:jc w:val="center"/>
        <w:rPr>
          <w:rFonts w:ascii="Garamond" w:hAnsi="Garamond"/>
          <w:b/>
        </w:rPr>
      </w:pPr>
    </w:p>
    <w:p w14:paraId="26100728" w14:textId="77777777" w:rsidR="00743404" w:rsidRPr="009C1337" w:rsidRDefault="00743404" w:rsidP="00E62A8A">
      <w:pPr>
        <w:spacing w:line="276" w:lineRule="auto"/>
        <w:jc w:val="both"/>
        <w:rPr>
          <w:rFonts w:ascii="Garamond" w:hAnsi="Garamond"/>
          <w:b/>
        </w:rPr>
      </w:pPr>
      <w:r w:rsidRPr="009C1337">
        <w:rPr>
          <w:rFonts w:ascii="Garamond" w:hAnsi="Garamond"/>
          <w:b/>
        </w:rPr>
        <w:t>BACKGROUND</w:t>
      </w:r>
    </w:p>
    <w:p w14:paraId="799FFFF5" w14:textId="3095B46B" w:rsidR="00743404" w:rsidRPr="00670DA2" w:rsidRDefault="00743404" w:rsidP="009D6885">
      <w:pPr>
        <w:spacing w:line="276" w:lineRule="auto"/>
        <w:ind w:firstLine="567"/>
        <w:jc w:val="both"/>
        <w:rPr>
          <w:rFonts w:ascii="Garamond" w:hAnsi="Garamond"/>
        </w:rPr>
      </w:pPr>
      <w:r w:rsidRPr="009C1337">
        <w:rPr>
          <w:rFonts w:ascii="Garamond" w:hAnsi="Garamond"/>
          <w:bCs/>
        </w:rPr>
        <w:t>Allah gives different abilities from one human to another. Many humans are gifted by Allah with abundant wealth, vast fields, and rizki that flows without stopping. Meanwhile, many people find it difficult to find sustenance, even just to be able to eat properly</w:t>
      </w:r>
      <w:r w:rsidRPr="00050436">
        <w:rPr>
          <w:rFonts w:ascii="Garamond" w:hAnsi="Garamond"/>
        </w:rPr>
        <w:t>.</w:t>
      </w:r>
      <w:r>
        <w:rPr>
          <w:rStyle w:val="FootnoteReference"/>
          <w:rFonts w:ascii="Garamond" w:hAnsi="Garamond"/>
        </w:rPr>
        <w:footnoteReference w:id="1"/>
      </w:r>
      <w:r w:rsidRPr="00050436">
        <w:rPr>
          <w:rFonts w:ascii="Garamond" w:hAnsi="Garamond"/>
        </w:rPr>
        <w:t xml:space="preserve"> </w:t>
      </w:r>
      <w:r w:rsidRPr="009C1337">
        <w:rPr>
          <w:rFonts w:ascii="Garamond" w:hAnsi="Garamond"/>
        </w:rPr>
        <w:t>Therefore in Islam it is commanded to help each other to help each other. One form of helping is a cooperation agreement in Islamic Economics</w:t>
      </w:r>
      <w:r>
        <w:rPr>
          <w:rFonts w:ascii="Garamond" w:hAnsi="Garamond"/>
          <w:lang w:val="id-ID"/>
        </w:rPr>
        <w:t>.</w:t>
      </w:r>
      <w:r>
        <w:rPr>
          <w:rStyle w:val="FootnoteReference"/>
          <w:rFonts w:ascii="Garamond" w:hAnsi="Garamond"/>
        </w:rPr>
        <w:footnoteReference w:id="2"/>
      </w:r>
      <w:r w:rsidRPr="00050436">
        <w:rPr>
          <w:rFonts w:ascii="Garamond" w:hAnsi="Garamond"/>
        </w:rPr>
        <w:t xml:space="preserve"> </w:t>
      </w:r>
      <w:r w:rsidRPr="004361A0">
        <w:rPr>
          <w:rFonts w:ascii="Garamond" w:hAnsi="Garamond"/>
        </w:rPr>
        <w:t>People who have large fields but do not have time to work on them, can trust others who have the energy but do not have the fields to work on them. There is a symbiosis of mutualism in this contract. The cooperation agreement in the agricultural sector that is widely known and practiced in people's lives is the Mukhabarah agreement.</w:t>
      </w:r>
      <w:r w:rsidR="009D6885">
        <w:rPr>
          <w:rFonts w:ascii="Garamond" w:hAnsi="Garamond"/>
        </w:rPr>
        <w:t xml:space="preserve"> </w:t>
      </w:r>
      <w:r w:rsidRPr="004361A0">
        <w:rPr>
          <w:rFonts w:ascii="Garamond" w:hAnsi="Garamond"/>
        </w:rPr>
        <w:t>The difference in the expertise and energy of each person has a consequence of the existence of Ujrah in Islamic Economics. Ujrah is a wage wage system. A person may use the energy, time, and expertise of others and then be rewarded with an equivalent amount of what has been done. This paper will explain in more detail the understanding of Mukhabarah and Ujrah, terms and conditions, and matters relating to the role of government.</w:t>
      </w:r>
      <w:r w:rsidRPr="00050436">
        <w:rPr>
          <w:rFonts w:ascii="Garamond" w:hAnsi="Garamond"/>
        </w:rPr>
        <w:t xml:space="preserve"> </w:t>
      </w:r>
    </w:p>
    <w:p w14:paraId="7A37291C" w14:textId="77777777" w:rsidR="009D6885" w:rsidRDefault="009D6885" w:rsidP="00E62A8A">
      <w:pPr>
        <w:spacing w:line="276" w:lineRule="auto"/>
        <w:jc w:val="both"/>
        <w:rPr>
          <w:rFonts w:ascii="Garamond" w:hAnsi="Garamond"/>
          <w:b/>
        </w:rPr>
      </w:pPr>
    </w:p>
    <w:p w14:paraId="0A2B50FE" w14:textId="77777777" w:rsidR="00743404" w:rsidRDefault="00743404" w:rsidP="00E62A8A">
      <w:pPr>
        <w:spacing w:line="276" w:lineRule="auto"/>
        <w:jc w:val="both"/>
        <w:rPr>
          <w:rFonts w:ascii="Garamond" w:hAnsi="Garamond"/>
          <w:b/>
        </w:rPr>
      </w:pPr>
      <w:r w:rsidRPr="004361A0">
        <w:rPr>
          <w:rFonts w:ascii="Garamond" w:hAnsi="Garamond"/>
          <w:b/>
        </w:rPr>
        <w:t>DISCUSSION</w:t>
      </w:r>
    </w:p>
    <w:p w14:paraId="3ACEE4D5" w14:textId="77777777" w:rsidR="00743404" w:rsidRPr="00670DA2" w:rsidRDefault="00743404" w:rsidP="00E62A8A">
      <w:pPr>
        <w:spacing w:line="276" w:lineRule="auto"/>
        <w:jc w:val="both"/>
        <w:rPr>
          <w:rFonts w:ascii="Garamond" w:hAnsi="Garamond"/>
          <w:b/>
        </w:rPr>
      </w:pPr>
      <w:r w:rsidRPr="00670DA2">
        <w:rPr>
          <w:rFonts w:ascii="Garamond" w:hAnsi="Garamond"/>
          <w:b/>
        </w:rPr>
        <w:t>MUKHABARAH</w:t>
      </w:r>
    </w:p>
    <w:p w14:paraId="2E2DA0F0" w14:textId="77777777" w:rsidR="00743404" w:rsidRDefault="00743404" w:rsidP="00E62A8A">
      <w:pPr>
        <w:spacing w:line="276" w:lineRule="auto"/>
        <w:ind w:firstLine="720"/>
        <w:jc w:val="both"/>
        <w:rPr>
          <w:rFonts w:ascii="Garamond" w:hAnsi="Garamond"/>
        </w:rPr>
      </w:pPr>
      <w:r w:rsidRPr="004361A0">
        <w:rPr>
          <w:rFonts w:ascii="Garamond" w:hAnsi="Garamond"/>
        </w:rPr>
        <w:t xml:space="preserve">The Mukhabarah agreement is a cooperation agreement in the agricultural sector between the land owner and the manager (cultivator), where the plant seeds come from land cultivators, agricultural products are divided between the owner and the cultivator according to the agreed ratio. Apart from Mukhabarah, another contract known in cooperation in the agricultural sector is the Muzara'ah contract. The Muzara'ah contract is an agreement for agricultural business cooperation between the land owner and the manager (cultivator), where the plant seeds come from the land owner, agricultural </w:t>
      </w:r>
      <w:r w:rsidRPr="004361A0">
        <w:rPr>
          <w:rFonts w:ascii="Garamond" w:hAnsi="Garamond"/>
        </w:rPr>
        <w:lastRenderedPageBreak/>
        <w:t>products are divided between the owner and the cultivator according to the agreed ratio.</w:t>
      </w:r>
    </w:p>
    <w:p w14:paraId="2783DDB2" w14:textId="77777777" w:rsidR="00743404" w:rsidRPr="004361A0" w:rsidRDefault="00743404" w:rsidP="00E62A8A">
      <w:pPr>
        <w:spacing w:line="276" w:lineRule="auto"/>
        <w:ind w:firstLine="720"/>
        <w:jc w:val="both"/>
        <w:rPr>
          <w:rFonts w:ascii="Garamond" w:hAnsi="Garamond"/>
        </w:rPr>
      </w:pPr>
      <w:r w:rsidRPr="004361A0">
        <w:rPr>
          <w:rFonts w:ascii="Garamond" w:hAnsi="Garamond"/>
        </w:rPr>
        <w:t>According to al-Rafi'i and Al-Nawawi, Mukhabarah has a different meaning from Muzaraah. Meanwhile, Al-Qadhi Abu Thayib argues that Muzara'ah and Mukhabarah are one meaning.</w:t>
      </w:r>
      <w:r w:rsidRPr="00050436">
        <w:rPr>
          <w:rStyle w:val="FootnoteReference"/>
          <w:rFonts w:ascii="Garamond" w:hAnsi="Garamond"/>
        </w:rPr>
        <w:footnoteReference w:id="3"/>
      </w:r>
      <w:r w:rsidRPr="00050436">
        <w:rPr>
          <w:rFonts w:ascii="Garamond" w:hAnsi="Garamond"/>
        </w:rPr>
        <w:t xml:space="preserve"> </w:t>
      </w:r>
      <w:r w:rsidRPr="004361A0">
        <w:rPr>
          <w:rFonts w:ascii="Garamond" w:hAnsi="Garamond"/>
          <w:iCs/>
        </w:rPr>
        <w:t>Mukhabarah is considered the same as Muzaraah because both of them are cooperative agreements in cultivating agricultural land between land owners and cultivators, in which the land owner gives agricultural land to cultivators to be planted and maintained in exchange for a certain share (percentage) of the harvest.</w:t>
      </w:r>
      <w:r w:rsidRPr="00050436">
        <w:rPr>
          <w:rStyle w:val="FootnoteReference"/>
          <w:rFonts w:ascii="Garamond" w:hAnsi="Garamond"/>
        </w:rPr>
        <w:footnoteReference w:id="4"/>
      </w:r>
      <w:r w:rsidRPr="00050436">
        <w:rPr>
          <w:rFonts w:ascii="Garamond" w:hAnsi="Garamond"/>
        </w:rPr>
        <w:t xml:space="preserve"> </w:t>
      </w:r>
      <w:r w:rsidRPr="004361A0">
        <w:rPr>
          <w:rFonts w:ascii="Garamond" w:hAnsi="Garamond"/>
        </w:rPr>
        <w:t>Whereas the difference between the two is that Muzara'ah is the seed of the land owner, while Mukhabarah is the seed of the cultivator.</w:t>
      </w:r>
    </w:p>
    <w:p w14:paraId="08DCCC96" w14:textId="77777777" w:rsidR="00743404" w:rsidRPr="00050436" w:rsidRDefault="00743404" w:rsidP="00E62A8A">
      <w:pPr>
        <w:spacing w:line="276" w:lineRule="auto"/>
        <w:ind w:firstLine="720"/>
        <w:jc w:val="both"/>
        <w:rPr>
          <w:rFonts w:ascii="Garamond" w:hAnsi="Garamond"/>
        </w:rPr>
      </w:pPr>
      <w:r w:rsidRPr="004361A0">
        <w:rPr>
          <w:rFonts w:ascii="Garamond" w:hAnsi="Garamond"/>
        </w:rPr>
        <w:t>Aburrahman Al-Jaziri summarizes the meaning of Muzara'ah and Mukhabarah from various mazhab scholars, namely as follows:</w:t>
      </w:r>
    </w:p>
    <w:p w14:paraId="19A13E95" w14:textId="77777777" w:rsidR="00743404" w:rsidRPr="004361A0" w:rsidRDefault="00743404" w:rsidP="00E62A8A">
      <w:pPr>
        <w:pStyle w:val="ListParagraph"/>
        <w:numPr>
          <w:ilvl w:val="0"/>
          <w:numId w:val="13"/>
        </w:numPr>
        <w:spacing w:after="0"/>
        <w:jc w:val="both"/>
        <w:rPr>
          <w:rFonts w:ascii="Garamond" w:hAnsi="Garamond" w:cs="Times New Roman"/>
          <w:sz w:val="24"/>
          <w:szCs w:val="24"/>
        </w:rPr>
      </w:pPr>
      <w:r w:rsidRPr="004361A0">
        <w:rPr>
          <w:rFonts w:ascii="Garamond" w:hAnsi="Garamond" w:cs="Times New Roman"/>
          <w:sz w:val="24"/>
          <w:szCs w:val="24"/>
        </w:rPr>
        <w:t>According to Hanafiyah, Muzara'ah, namely, "Akad to cultivate crops with a portion of the produce that comes out of the earth."</w:t>
      </w:r>
    </w:p>
    <w:p w14:paraId="59EA946C" w14:textId="77777777" w:rsidR="00743404" w:rsidRPr="004361A0" w:rsidRDefault="00743404" w:rsidP="00E62A8A">
      <w:pPr>
        <w:pStyle w:val="ListParagraph"/>
        <w:numPr>
          <w:ilvl w:val="0"/>
          <w:numId w:val="13"/>
        </w:numPr>
        <w:spacing w:after="0"/>
        <w:jc w:val="both"/>
        <w:rPr>
          <w:rFonts w:ascii="Garamond" w:hAnsi="Garamond" w:cs="Times New Roman"/>
          <w:sz w:val="24"/>
          <w:szCs w:val="24"/>
        </w:rPr>
      </w:pPr>
      <w:r w:rsidRPr="004361A0">
        <w:rPr>
          <w:rFonts w:ascii="Garamond" w:hAnsi="Garamond" w:cs="Times New Roman"/>
          <w:sz w:val="24"/>
          <w:szCs w:val="24"/>
        </w:rPr>
        <w:t>According to Hanabilah, Muzara'ah, namely, "The owner of the land who actually gives up his land for planting and who works is given seeds."</w:t>
      </w:r>
    </w:p>
    <w:p w14:paraId="174CD937" w14:textId="77777777" w:rsidR="00743404" w:rsidRPr="004361A0" w:rsidRDefault="00743404" w:rsidP="00E62A8A">
      <w:pPr>
        <w:pStyle w:val="ListParagraph"/>
        <w:numPr>
          <w:ilvl w:val="0"/>
          <w:numId w:val="13"/>
        </w:numPr>
        <w:spacing w:after="0"/>
        <w:jc w:val="both"/>
        <w:rPr>
          <w:rFonts w:ascii="Garamond" w:hAnsi="Garamond" w:cs="Times New Roman"/>
          <w:sz w:val="24"/>
          <w:szCs w:val="24"/>
        </w:rPr>
      </w:pPr>
      <w:r w:rsidRPr="004361A0">
        <w:rPr>
          <w:rFonts w:ascii="Garamond" w:hAnsi="Garamond" w:cs="Times New Roman"/>
          <w:sz w:val="24"/>
          <w:szCs w:val="24"/>
        </w:rPr>
        <w:t>According to Malikiyah, Muzara'ah namely, "Alliance in the contract". This definition, if explained further, states that Muzara'ah is the rental price of land from money, animals, or trade goods.</w:t>
      </w:r>
    </w:p>
    <w:p w14:paraId="7A35CE9F" w14:textId="77777777" w:rsidR="00743404" w:rsidRPr="00F46636" w:rsidRDefault="00743404" w:rsidP="00E62A8A">
      <w:pPr>
        <w:pStyle w:val="ListParagraph"/>
        <w:numPr>
          <w:ilvl w:val="0"/>
          <w:numId w:val="13"/>
        </w:numPr>
        <w:spacing w:after="0"/>
        <w:jc w:val="both"/>
        <w:rPr>
          <w:rFonts w:ascii="Garamond" w:hAnsi="Garamond" w:cs="Times New Roman"/>
          <w:sz w:val="24"/>
          <w:szCs w:val="24"/>
        </w:rPr>
      </w:pPr>
      <w:r w:rsidRPr="004361A0">
        <w:rPr>
          <w:rFonts w:ascii="Garamond" w:hAnsi="Garamond" w:cs="Times New Roman"/>
          <w:sz w:val="24"/>
          <w:szCs w:val="24"/>
        </w:rPr>
        <w:t xml:space="preserve">According to the dzahir </w:t>
      </w:r>
      <w:proofErr w:type="gramStart"/>
      <w:r w:rsidRPr="004361A0">
        <w:rPr>
          <w:rFonts w:ascii="Garamond" w:hAnsi="Garamond" w:cs="Times New Roman"/>
          <w:sz w:val="24"/>
          <w:szCs w:val="24"/>
        </w:rPr>
        <w:t>nash</w:t>
      </w:r>
      <w:proofErr w:type="gramEnd"/>
      <w:r w:rsidRPr="004361A0">
        <w:rPr>
          <w:rFonts w:ascii="Garamond" w:hAnsi="Garamond" w:cs="Times New Roman"/>
          <w:sz w:val="24"/>
          <w:szCs w:val="24"/>
        </w:rPr>
        <w:t>, Imam Syafi'i argues that Mukhabarah is, "Cultivating the land with what is removed from the land." Whereas Muzara'ah is "A worker rents land with what is produced from the land."</w:t>
      </w:r>
    </w:p>
    <w:p w14:paraId="7D449A13" w14:textId="77777777" w:rsidR="00743404" w:rsidRPr="004361A0" w:rsidRDefault="00743404" w:rsidP="00E62A8A">
      <w:pPr>
        <w:spacing w:line="276" w:lineRule="auto"/>
        <w:jc w:val="both"/>
        <w:rPr>
          <w:rFonts w:ascii="Garamond" w:hAnsi="Garamond"/>
          <w:b/>
        </w:rPr>
      </w:pPr>
      <w:r w:rsidRPr="004361A0">
        <w:rPr>
          <w:rFonts w:ascii="Garamond" w:hAnsi="Garamond"/>
          <w:b/>
        </w:rPr>
        <w:t>Legal Basis for Mukhabarah</w:t>
      </w:r>
    </w:p>
    <w:p w14:paraId="4BD7D5E5" w14:textId="77777777" w:rsidR="00743404" w:rsidRPr="00050436" w:rsidRDefault="00743404" w:rsidP="00E62A8A">
      <w:pPr>
        <w:spacing w:line="276" w:lineRule="auto"/>
        <w:ind w:firstLine="720"/>
        <w:jc w:val="both"/>
        <w:rPr>
          <w:rFonts w:ascii="Garamond" w:hAnsi="Garamond"/>
        </w:rPr>
      </w:pPr>
      <w:r w:rsidRPr="004361A0">
        <w:rPr>
          <w:rFonts w:ascii="Garamond" w:hAnsi="Garamond"/>
          <w:bCs/>
        </w:rPr>
        <w:t>The legal basis used by the scholars in determining Mukhabarah and Muzara'ah laws is a hadith narrated by Bukhari and Muslim from Ibn Abbas RA.</w:t>
      </w:r>
      <w:r w:rsidRPr="00050436">
        <w:rPr>
          <w:rStyle w:val="FootnoteReference"/>
          <w:rFonts w:ascii="Garamond" w:hAnsi="Garamond"/>
        </w:rPr>
        <w:footnoteReference w:id="5"/>
      </w:r>
    </w:p>
    <w:p w14:paraId="323589EF" w14:textId="77777777" w:rsidR="00743404" w:rsidRDefault="00743404" w:rsidP="00E62A8A">
      <w:pPr>
        <w:spacing w:line="276" w:lineRule="auto"/>
        <w:ind w:left="709"/>
        <w:jc w:val="both"/>
        <w:rPr>
          <w:rFonts w:ascii="Garamond" w:hAnsi="Garamond"/>
          <w:i/>
        </w:rPr>
      </w:pPr>
      <w:r w:rsidRPr="004361A0">
        <w:rPr>
          <w:rFonts w:ascii="Garamond" w:hAnsi="Garamond"/>
          <w:i/>
        </w:rPr>
        <w:t>"In fact, the Prophet SAW stated that he did not forbid doing muzara'ah, he even ordered it, so that some people love others, by saying that whoever owns the land, he should plant it or give benefits to his brother, if he does not want to, then he can just be detained. the land."</w:t>
      </w:r>
    </w:p>
    <w:p w14:paraId="4AF96433" w14:textId="77777777" w:rsidR="00743404" w:rsidRPr="00132F47" w:rsidRDefault="00743404" w:rsidP="00E62A8A">
      <w:pPr>
        <w:spacing w:line="276" w:lineRule="auto"/>
        <w:jc w:val="both"/>
        <w:rPr>
          <w:rFonts w:ascii="Garamond" w:hAnsi="Garamond"/>
          <w:b/>
          <w:bCs/>
        </w:rPr>
      </w:pPr>
      <w:r w:rsidRPr="00132F47">
        <w:rPr>
          <w:rFonts w:ascii="Garamond" w:hAnsi="Garamond"/>
          <w:b/>
          <w:bCs/>
        </w:rPr>
        <w:lastRenderedPageBreak/>
        <w:t>Pillars and Terms of Mukhabarah</w:t>
      </w:r>
    </w:p>
    <w:p w14:paraId="5C85D237" w14:textId="77777777" w:rsidR="00743404" w:rsidRPr="00132F47" w:rsidRDefault="00743404" w:rsidP="00E62A8A">
      <w:pPr>
        <w:pStyle w:val="ListParagraph"/>
        <w:spacing w:after="0"/>
        <w:ind w:left="426"/>
        <w:jc w:val="both"/>
        <w:rPr>
          <w:rFonts w:ascii="Garamond" w:hAnsi="Garamond" w:cs="Times New Roman"/>
          <w:sz w:val="24"/>
          <w:szCs w:val="24"/>
        </w:rPr>
      </w:pPr>
      <w:r w:rsidRPr="00132F47">
        <w:rPr>
          <w:rFonts w:ascii="Garamond" w:hAnsi="Garamond" w:cs="Times New Roman"/>
          <w:sz w:val="24"/>
          <w:szCs w:val="24"/>
        </w:rPr>
        <w:t>There are 4 pillars of Mukhabarah, namely:</w:t>
      </w:r>
      <w:r w:rsidRPr="00132F47">
        <w:rPr>
          <w:rStyle w:val="FootnoteReference"/>
          <w:rFonts w:ascii="Garamond" w:hAnsi="Garamond" w:cs="Times New Roman"/>
          <w:sz w:val="24"/>
          <w:szCs w:val="24"/>
        </w:rPr>
        <w:t xml:space="preserve"> </w:t>
      </w:r>
      <w:r w:rsidRPr="00050436">
        <w:rPr>
          <w:rStyle w:val="FootnoteReference"/>
          <w:rFonts w:ascii="Garamond" w:hAnsi="Garamond" w:cs="Times New Roman"/>
          <w:sz w:val="24"/>
          <w:szCs w:val="24"/>
        </w:rPr>
        <w:footnoteReference w:id="6"/>
      </w:r>
    </w:p>
    <w:p w14:paraId="14DE7215" w14:textId="77777777" w:rsidR="00743404" w:rsidRPr="00132F47" w:rsidRDefault="00743404" w:rsidP="00E62A8A">
      <w:pPr>
        <w:spacing w:line="276" w:lineRule="auto"/>
        <w:ind w:left="426"/>
        <w:jc w:val="both"/>
        <w:rPr>
          <w:rFonts w:ascii="Garamond" w:hAnsi="Garamond"/>
        </w:rPr>
      </w:pPr>
      <w:r w:rsidRPr="00132F47">
        <w:rPr>
          <w:rFonts w:ascii="Garamond" w:hAnsi="Garamond"/>
        </w:rPr>
        <w:t>1.</w:t>
      </w:r>
      <w:r>
        <w:rPr>
          <w:rFonts w:ascii="Garamond" w:hAnsi="Garamond"/>
          <w:lang w:val="id-ID"/>
        </w:rPr>
        <w:t xml:space="preserve"> </w:t>
      </w:r>
      <w:r w:rsidRPr="00132F47">
        <w:rPr>
          <w:rFonts w:ascii="Garamond" w:hAnsi="Garamond"/>
        </w:rPr>
        <w:t>Land owner</w:t>
      </w:r>
    </w:p>
    <w:p w14:paraId="34CB4AE6" w14:textId="77777777" w:rsidR="00743404" w:rsidRPr="00132F47" w:rsidRDefault="00743404" w:rsidP="00E62A8A">
      <w:pPr>
        <w:spacing w:line="276" w:lineRule="auto"/>
        <w:ind w:left="426"/>
        <w:jc w:val="both"/>
        <w:rPr>
          <w:rFonts w:ascii="Garamond" w:hAnsi="Garamond"/>
        </w:rPr>
      </w:pPr>
      <w:r w:rsidRPr="00132F47">
        <w:rPr>
          <w:rFonts w:ascii="Garamond" w:hAnsi="Garamond"/>
        </w:rPr>
        <w:t>2. Cultivators</w:t>
      </w:r>
    </w:p>
    <w:p w14:paraId="76052707" w14:textId="77777777" w:rsidR="00743404" w:rsidRPr="00132F47" w:rsidRDefault="00743404" w:rsidP="00E62A8A">
      <w:pPr>
        <w:spacing w:line="276" w:lineRule="auto"/>
        <w:ind w:left="426"/>
        <w:jc w:val="both"/>
        <w:rPr>
          <w:rFonts w:ascii="Garamond" w:hAnsi="Garamond"/>
        </w:rPr>
      </w:pPr>
      <w:r w:rsidRPr="00132F47">
        <w:rPr>
          <w:rFonts w:ascii="Garamond" w:hAnsi="Garamond"/>
        </w:rPr>
        <w:t>3. Cultivated land</w:t>
      </w:r>
    </w:p>
    <w:p w14:paraId="3EB730B4" w14:textId="77777777" w:rsidR="00743404" w:rsidRPr="00132F47" w:rsidRDefault="00743404" w:rsidP="00E62A8A">
      <w:pPr>
        <w:spacing w:line="276" w:lineRule="auto"/>
        <w:ind w:left="426"/>
        <w:jc w:val="both"/>
        <w:rPr>
          <w:rFonts w:ascii="Garamond" w:hAnsi="Garamond"/>
        </w:rPr>
      </w:pPr>
      <w:r w:rsidRPr="00132F47">
        <w:rPr>
          <w:rFonts w:ascii="Garamond" w:hAnsi="Garamond"/>
        </w:rPr>
        <w:t>4. Akad</w:t>
      </w:r>
    </w:p>
    <w:p w14:paraId="14D4384B" w14:textId="77777777" w:rsidR="00743404" w:rsidRPr="00050436" w:rsidRDefault="00743404" w:rsidP="00E62A8A">
      <w:pPr>
        <w:spacing w:line="276" w:lineRule="auto"/>
        <w:ind w:firstLine="360"/>
        <w:jc w:val="both"/>
        <w:rPr>
          <w:rFonts w:ascii="Garamond" w:hAnsi="Garamond"/>
        </w:rPr>
      </w:pPr>
      <w:r w:rsidRPr="00132F47">
        <w:rPr>
          <w:rFonts w:ascii="Garamond" w:hAnsi="Garamond"/>
        </w:rPr>
        <w:t>Mukhabarah requirements are as follows</w:t>
      </w:r>
      <w:r w:rsidRPr="00050436">
        <w:rPr>
          <w:rFonts w:ascii="Garamond" w:hAnsi="Garamond"/>
        </w:rPr>
        <w:t>:</w:t>
      </w:r>
      <w:r w:rsidRPr="00132F47">
        <w:rPr>
          <w:rStyle w:val="FootnoteReference"/>
          <w:rFonts w:ascii="Garamond" w:hAnsi="Garamond"/>
        </w:rPr>
        <w:t xml:space="preserve"> </w:t>
      </w:r>
      <w:r w:rsidRPr="00050436">
        <w:rPr>
          <w:rStyle w:val="FootnoteReference"/>
          <w:rFonts w:ascii="Garamond" w:hAnsi="Garamond"/>
        </w:rPr>
        <w:footnoteReference w:id="7"/>
      </w:r>
    </w:p>
    <w:p w14:paraId="2C8052FD" w14:textId="77777777" w:rsidR="00743404" w:rsidRPr="00132F47" w:rsidRDefault="00743404" w:rsidP="00E62A8A">
      <w:pPr>
        <w:pStyle w:val="ListParagraph"/>
        <w:numPr>
          <w:ilvl w:val="0"/>
          <w:numId w:val="14"/>
        </w:numPr>
        <w:jc w:val="both"/>
        <w:rPr>
          <w:rFonts w:ascii="Garamond" w:hAnsi="Garamond" w:cs="Times New Roman"/>
          <w:sz w:val="24"/>
          <w:szCs w:val="24"/>
        </w:rPr>
      </w:pPr>
      <w:r w:rsidRPr="00132F47">
        <w:rPr>
          <w:rFonts w:ascii="Garamond" w:hAnsi="Garamond" w:cs="Times New Roman"/>
          <w:sz w:val="24"/>
          <w:szCs w:val="24"/>
        </w:rPr>
        <w:t>Conditions related to 'aqidain, namely must be mature, sensible, tamyiz.</w:t>
      </w:r>
    </w:p>
    <w:p w14:paraId="51FC8129" w14:textId="77777777" w:rsidR="00743404" w:rsidRPr="00132F47" w:rsidRDefault="00743404" w:rsidP="00E62A8A">
      <w:pPr>
        <w:pStyle w:val="ListParagraph"/>
        <w:numPr>
          <w:ilvl w:val="0"/>
          <w:numId w:val="14"/>
        </w:numPr>
        <w:jc w:val="both"/>
        <w:rPr>
          <w:rFonts w:ascii="Garamond" w:hAnsi="Garamond" w:cs="Times New Roman"/>
          <w:sz w:val="24"/>
          <w:szCs w:val="24"/>
        </w:rPr>
      </w:pPr>
      <w:r w:rsidRPr="00132F47">
        <w:rPr>
          <w:rFonts w:ascii="Garamond" w:hAnsi="Garamond" w:cs="Times New Roman"/>
          <w:sz w:val="24"/>
          <w:szCs w:val="24"/>
        </w:rPr>
        <w:t>Requirements relating to plants, namely requiring a determination of what plants to plant.</w:t>
      </w:r>
    </w:p>
    <w:p w14:paraId="5EF3E626" w14:textId="77777777" w:rsidR="00743404" w:rsidRPr="00132F47" w:rsidRDefault="00743404" w:rsidP="00E62A8A">
      <w:pPr>
        <w:pStyle w:val="ListParagraph"/>
        <w:numPr>
          <w:ilvl w:val="0"/>
          <w:numId w:val="14"/>
        </w:numPr>
        <w:jc w:val="both"/>
        <w:rPr>
          <w:rFonts w:ascii="Garamond" w:hAnsi="Garamond" w:cs="Times New Roman"/>
          <w:sz w:val="24"/>
          <w:szCs w:val="24"/>
        </w:rPr>
      </w:pPr>
      <w:r w:rsidRPr="00132F47">
        <w:rPr>
          <w:rFonts w:ascii="Garamond" w:hAnsi="Garamond" w:cs="Times New Roman"/>
          <w:sz w:val="24"/>
          <w:szCs w:val="24"/>
        </w:rPr>
        <w:t>Requirements relating to crop yields are:</w:t>
      </w:r>
    </w:p>
    <w:p w14:paraId="4DD11AFE" w14:textId="77777777" w:rsidR="00743404" w:rsidRDefault="00743404" w:rsidP="00E62A8A">
      <w:pPr>
        <w:pStyle w:val="ListParagraph"/>
        <w:numPr>
          <w:ilvl w:val="0"/>
          <w:numId w:val="21"/>
        </w:numPr>
        <w:ind w:left="1134"/>
        <w:jc w:val="both"/>
        <w:rPr>
          <w:rFonts w:ascii="Garamond" w:hAnsi="Garamond" w:cs="Times New Roman"/>
          <w:sz w:val="24"/>
          <w:szCs w:val="24"/>
        </w:rPr>
      </w:pPr>
      <w:r w:rsidRPr="00132F47">
        <w:rPr>
          <w:rFonts w:ascii="Garamond" w:hAnsi="Garamond" w:cs="Times New Roman"/>
          <w:sz w:val="24"/>
          <w:szCs w:val="24"/>
        </w:rPr>
        <w:t>The percentage of each party's share must be clear when contracting</w:t>
      </w:r>
    </w:p>
    <w:p w14:paraId="6A055E48" w14:textId="77777777" w:rsidR="00743404" w:rsidRDefault="00743404" w:rsidP="00E62A8A">
      <w:pPr>
        <w:pStyle w:val="ListParagraph"/>
        <w:numPr>
          <w:ilvl w:val="0"/>
          <w:numId w:val="21"/>
        </w:numPr>
        <w:ind w:left="1134"/>
        <w:jc w:val="both"/>
        <w:rPr>
          <w:rFonts w:ascii="Garamond" w:hAnsi="Garamond" w:cs="Times New Roman"/>
          <w:sz w:val="24"/>
          <w:szCs w:val="24"/>
        </w:rPr>
      </w:pPr>
      <w:r w:rsidRPr="00132F47">
        <w:rPr>
          <w:rFonts w:ascii="Garamond" w:hAnsi="Garamond" w:cs="Times New Roman"/>
          <w:sz w:val="24"/>
          <w:szCs w:val="24"/>
        </w:rPr>
        <w:t>Results are common property</w:t>
      </w:r>
    </w:p>
    <w:p w14:paraId="6AFEF274" w14:textId="77777777" w:rsidR="00743404" w:rsidRDefault="00743404" w:rsidP="00E62A8A">
      <w:pPr>
        <w:pStyle w:val="ListParagraph"/>
        <w:numPr>
          <w:ilvl w:val="0"/>
          <w:numId w:val="21"/>
        </w:numPr>
        <w:ind w:left="1134"/>
        <w:jc w:val="both"/>
        <w:rPr>
          <w:rFonts w:ascii="Garamond" w:hAnsi="Garamond" w:cs="Times New Roman"/>
          <w:sz w:val="24"/>
          <w:szCs w:val="24"/>
        </w:rPr>
      </w:pPr>
      <w:r w:rsidRPr="00132F47">
        <w:rPr>
          <w:rFonts w:ascii="Garamond" w:hAnsi="Garamond" w:cs="Times New Roman"/>
          <w:sz w:val="24"/>
          <w:szCs w:val="24"/>
        </w:rPr>
        <w:t>The share between the land owner and the tenant is of the same type of goods, for example rice, so if the land owner's share is cotton then the cultivator's share is cassava this is not legal.</w:t>
      </w:r>
    </w:p>
    <w:p w14:paraId="51A84779" w14:textId="77777777" w:rsidR="00743404" w:rsidRDefault="00743404" w:rsidP="00E62A8A">
      <w:pPr>
        <w:pStyle w:val="ListParagraph"/>
        <w:numPr>
          <w:ilvl w:val="0"/>
          <w:numId w:val="21"/>
        </w:numPr>
        <w:ind w:left="1134"/>
        <w:jc w:val="both"/>
        <w:rPr>
          <w:rFonts w:ascii="Garamond" w:hAnsi="Garamond" w:cs="Times New Roman"/>
          <w:sz w:val="24"/>
          <w:szCs w:val="24"/>
        </w:rPr>
      </w:pPr>
      <w:r w:rsidRPr="00132F47">
        <w:rPr>
          <w:rFonts w:ascii="Garamond" w:hAnsi="Garamond" w:cs="Times New Roman"/>
          <w:sz w:val="24"/>
          <w:szCs w:val="24"/>
        </w:rPr>
        <w:t>The parts of both parties are already known</w:t>
      </w:r>
    </w:p>
    <w:p w14:paraId="3FCAC632" w14:textId="77777777" w:rsidR="00743404" w:rsidRPr="00132F47" w:rsidRDefault="00743404" w:rsidP="00E62A8A">
      <w:pPr>
        <w:pStyle w:val="ListParagraph"/>
        <w:numPr>
          <w:ilvl w:val="0"/>
          <w:numId w:val="21"/>
        </w:numPr>
        <w:ind w:left="1134"/>
        <w:jc w:val="both"/>
        <w:rPr>
          <w:rFonts w:ascii="Garamond" w:hAnsi="Garamond" w:cs="Times New Roman"/>
          <w:sz w:val="24"/>
          <w:szCs w:val="24"/>
        </w:rPr>
      </w:pPr>
      <w:r w:rsidRPr="00132F47">
        <w:rPr>
          <w:rFonts w:ascii="Garamond" w:hAnsi="Garamond" w:cs="Times New Roman"/>
          <w:sz w:val="24"/>
          <w:szCs w:val="24"/>
        </w:rPr>
        <w:t xml:space="preserve"> Not required for one of the additions that are ma'lu</w:t>
      </w:r>
      <w:r>
        <w:rPr>
          <w:rFonts w:ascii="Garamond" w:hAnsi="Garamond" w:cs="Times New Roman"/>
          <w:sz w:val="24"/>
          <w:szCs w:val="24"/>
          <w:lang w:val="id-ID"/>
        </w:rPr>
        <w:t>m</w:t>
      </w:r>
    </w:p>
    <w:p w14:paraId="612252D0" w14:textId="77777777" w:rsidR="00743404" w:rsidRPr="00132F47" w:rsidRDefault="00743404" w:rsidP="00E62A8A">
      <w:pPr>
        <w:pStyle w:val="ListParagraph"/>
        <w:numPr>
          <w:ilvl w:val="0"/>
          <w:numId w:val="14"/>
        </w:numPr>
        <w:jc w:val="both"/>
        <w:rPr>
          <w:rFonts w:ascii="Garamond" w:hAnsi="Garamond" w:cs="Times New Roman"/>
          <w:sz w:val="24"/>
          <w:szCs w:val="24"/>
        </w:rPr>
      </w:pPr>
      <w:r w:rsidRPr="00132F47">
        <w:rPr>
          <w:rFonts w:ascii="Garamond" w:hAnsi="Garamond" w:cs="Times New Roman"/>
          <w:sz w:val="24"/>
          <w:szCs w:val="24"/>
        </w:rPr>
        <w:t>Matters relating to the land to be planted, namely:</w:t>
      </w:r>
    </w:p>
    <w:p w14:paraId="7CCFEFEB" w14:textId="77777777" w:rsidR="00743404" w:rsidRDefault="00743404" w:rsidP="00E62A8A">
      <w:pPr>
        <w:pStyle w:val="ListParagraph"/>
        <w:numPr>
          <w:ilvl w:val="0"/>
          <w:numId w:val="22"/>
        </w:numPr>
        <w:ind w:left="1134"/>
        <w:jc w:val="both"/>
        <w:rPr>
          <w:rFonts w:ascii="Garamond" w:hAnsi="Garamond" w:cs="Times New Roman"/>
          <w:sz w:val="24"/>
          <w:szCs w:val="24"/>
        </w:rPr>
      </w:pPr>
      <w:r w:rsidRPr="00132F47">
        <w:rPr>
          <w:rFonts w:ascii="Garamond" w:hAnsi="Garamond" w:cs="Times New Roman"/>
          <w:sz w:val="24"/>
          <w:szCs w:val="24"/>
        </w:rPr>
        <w:t>The land is cultivable</w:t>
      </w:r>
    </w:p>
    <w:p w14:paraId="5033FBF6" w14:textId="77777777" w:rsidR="00743404" w:rsidRDefault="00743404" w:rsidP="00E62A8A">
      <w:pPr>
        <w:pStyle w:val="ListParagraph"/>
        <w:numPr>
          <w:ilvl w:val="0"/>
          <w:numId w:val="22"/>
        </w:numPr>
        <w:ind w:left="1134"/>
        <w:jc w:val="both"/>
        <w:rPr>
          <w:rFonts w:ascii="Garamond" w:hAnsi="Garamond" w:cs="Times New Roman"/>
          <w:sz w:val="24"/>
          <w:szCs w:val="24"/>
        </w:rPr>
      </w:pPr>
      <w:r w:rsidRPr="00132F47">
        <w:rPr>
          <w:rFonts w:ascii="Garamond" w:hAnsi="Garamond" w:cs="Times New Roman"/>
          <w:sz w:val="24"/>
          <w:szCs w:val="24"/>
        </w:rPr>
        <w:t>The boundaries of the land are known</w:t>
      </w:r>
    </w:p>
    <w:p w14:paraId="7555F44A" w14:textId="77777777" w:rsidR="00743404" w:rsidRDefault="00743404" w:rsidP="00E62A8A">
      <w:pPr>
        <w:pStyle w:val="ListParagraph"/>
        <w:numPr>
          <w:ilvl w:val="0"/>
          <w:numId w:val="14"/>
        </w:numPr>
        <w:jc w:val="both"/>
        <w:rPr>
          <w:rFonts w:ascii="Garamond" w:hAnsi="Garamond" w:cs="Times New Roman"/>
          <w:sz w:val="24"/>
          <w:szCs w:val="24"/>
        </w:rPr>
      </w:pPr>
      <w:r w:rsidRPr="00132F47">
        <w:rPr>
          <w:rFonts w:ascii="Garamond" w:hAnsi="Garamond" w:cs="Times New Roman"/>
          <w:sz w:val="24"/>
          <w:szCs w:val="24"/>
        </w:rPr>
        <w:t>Things related to time, namely:</w:t>
      </w:r>
    </w:p>
    <w:p w14:paraId="7D89B89C" w14:textId="77777777" w:rsidR="00743404" w:rsidRPr="00C10950" w:rsidRDefault="00743404" w:rsidP="00E62A8A">
      <w:pPr>
        <w:pStyle w:val="ListParagraph"/>
        <w:numPr>
          <w:ilvl w:val="0"/>
          <w:numId w:val="23"/>
        </w:numPr>
        <w:jc w:val="both"/>
        <w:rPr>
          <w:rFonts w:ascii="Garamond" w:hAnsi="Garamond" w:cs="Times New Roman"/>
          <w:sz w:val="24"/>
          <w:szCs w:val="24"/>
        </w:rPr>
      </w:pPr>
      <w:r w:rsidRPr="00C10950">
        <w:rPr>
          <w:rFonts w:ascii="Garamond" w:hAnsi="Garamond" w:cs="Times New Roman"/>
          <w:sz w:val="24"/>
          <w:szCs w:val="24"/>
        </w:rPr>
        <w:t>The time for cooperation has been determined</w:t>
      </w:r>
    </w:p>
    <w:p w14:paraId="277C3115" w14:textId="77777777" w:rsidR="00743404" w:rsidRDefault="00743404" w:rsidP="00E62A8A">
      <w:pPr>
        <w:pStyle w:val="ListParagraph"/>
        <w:numPr>
          <w:ilvl w:val="0"/>
          <w:numId w:val="23"/>
        </w:numPr>
        <w:jc w:val="both"/>
        <w:rPr>
          <w:rFonts w:ascii="Garamond" w:hAnsi="Garamond" w:cs="Times New Roman"/>
          <w:sz w:val="24"/>
          <w:szCs w:val="24"/>
        </w:rPr>
      </w:pPr>
      <w:r w:rsidRPr="00C10950">
        <w:rPr>
          <w:rFonts w:ascii="Garamond" w:hAnsi="Garamond" w:cs="Times New Roman"/>
          <w:sz w:val="24"/>
          <w:szCs w:val="24"/>
        </w:rPr>
        <w:t>The predetermined time allows for planting accrued crops, such as planting rice which takes approximately 4 months</w:t>
      </w:r>
    </w:p>
    <w:p w14:paraId="6273C892" w14:textId="77777777" w:rsidR="00743404" w:rsidRDefault="00743404" w:rsidP="00E62A8A">
      <w:pPr>
        <w:pStyle w:val="ListParagraph"/>
        <w:numPr>
          <w:ilvl w:val="0"/>
          <w:numId w:val="23"/>
        </w:numPr>
        <w:jc w:val="both"/>
        <w:rPr>
          <w:rFonts w:ascii="Garamond" w:hAnsi="Garamond" w:cs="Times New Roman"/>
          <w:sz w:val="24"/>
          <w:szCs w:val="24"/>
        </w:rPr>
      </w:pPr>
      <w:r w:rsidRPr="00C10950">
        <w:rPr>
          <w:rFonts w:ascii="Garamond" w:hAnsi="Garamond" w:cs="Times New Roman"/>
          <w:sz w:val="24"/>
          <w:szCs w:val="24"/>
        </w:rPr>
        <w:t>This time allows both parties to live according to habits.</w:t>
      </w:r>
    </w:p>
    <w:p w14:paraId="0EE26FFE" w14:textId="77777777" w:rsidR="00743404" w:rsidRPr="00C10950" w:rsidRDefault="00743404" w:rsidP="00E62A8A">
      <w:pPr>
        <w:pStyle w:val="ListParagraph"/>
        <w:numPr>
          <w:ilvl w:val="0"/>
          <w:numId w:val="14"/>
        </w:numPr>
        <w:spacing w:after="0"/>
        <w:jc w:val="both"/>
        <w:rPr>
          <w:rFonts w:ascii="Garamond" w:hAnsi="Garamond" w:cs="Times New Roman"/>
          <w:sz w:val="24"/>
          <w:szCs w:val="24"/>
        </w:rPr>
      </w:pPr>
      <w:r w:rsidRPr="00C10950">
        <w:rPr>
          <w:rFonts w:ascii="Garamond" w:hAnsi="Garamond" w:cs="Times New Roman"/>
          <w:sz w:val="24"/>
          <w:szCs w:val="24"/>
        </w:rPr>
        <w:t>Matters relating to Mukhabarah tools, the equipment required to be in the form of animals or otherwise shall be borne by the manager.</w:t>
      </w:r>
    </w:p>
    <w:p w14:paraId="313118E0" w14:textId="77777777" w:rsidR="009D6885" w:rsidRDefault="009D6885" w:rsidP="00E62A8A">
      <w:pPr>
        <w:spacing w:line="276" w:lineRule="auto"/>
        <w:jc w:val="both"/>
        <w:rPr>
          <w:rFonts w:ascii="Garamond" w:hAnsi="Garamond"/>
          <w:b/>
        </w:rPr>
      </w:pPr>
    </w:p>
    <w:p w14:paraId="43940D09" w14:textId="77777777" w:rsidR="009D6885" w:rsidRDefault="009D6885" w:rsidP="00E62A8A">
      <w:pPr>
        <w:spacing w:line="276" w:lineRule="auto"/>
        <w:jc w:val="both"/>
        <w:rPr>
          <w:rFonts w:ascii="Garamond" w:hAnsi="Garamond"/>
          <w:b/>
        </w:rPr>
      </w:pPr>
    </w:p>
    <w:p w14:paraId="21C4ECEF" w14:textId="77777777" w:rsidR="009D6885" w:rsidRDefault="009D6885" w:rsidP="00E62A8A">
      <w:pPr>
        <w:spacing w:line="276" w:lineRule="auto"/>
        <w:jc w:val="both"/>
        <w:rPr>
          <w:rFonts w:ascii="Garamond" w:hAnsi="Garamond"/>
          <w:b/>
        </w:rPr>
      </w:pPr>
    </w:p>
    <w:p w14:paraId="1AC25E6C" w14:textId="77777777" w:rsidR="009D6885" w:rsidRDefault="009D6885" w:rsidP="00E62A8A">
      <w:pPr>
        <w:spacing w:line="276" w:lineRule="auto"/>
        <w:jc w:val="both"/>
        <w:rPr>
          <w:rFonts w:ascii="Garamond" w:hAnsi="Garamond"/>
          <w:b/>
        </w:rPr>
      </w:pPr>
    </w:p>
    <w:p w14:paraId="1FEF2CC8" w14:textId="52E8D444" w:rsidR="00743404" w:rsidRPr="006D7A0D" w:rsidRDefault="00743404" w:rsidP="00E62A8A">
      <w:pPr>
        <w:spacing w:line="276" w:lineRule="auto"/>
        <w:jc w:val="both"/>
        <w:rPr>
          <w:rFonts w:ascii="Garamond" w:hAnsi="Garamond"/>
          <w:b/>
        </w:rPr>
      </w:pPr>
      <w:r w:rsidRPr="006D7A0D">
        <w:rPr>
          <w:rFonts w:ascii="Garamond" w:hAnsi="Garamond"/>
          <w:b/>
        </w:rPr>
        <w:lastRenderedPageBreak/>
        <w:t>Mukhabarah Scheme</w:t>
      </w:r>
    </w:p>
    <w:p w14:paraId="408B444B" w14:textId="0DC11558" w:rsidR="005711BB" w:rsidRPr="005711BB" w:rsidRDefault="005711BB" w:rsidP="005711BB">
      <w:pPr>
        <w:spacing w:line="276" w:lineRule="auto"/>
        <w:jc w:val="both"/>
        <w:rPr>
          <w:rFonts w:ascii="Garamond" w:hAnsi="Garamond"/>
        </w:rPr>
      </w:pPr>
      <w:r w:rsidRPr="005711BB">
        <w:rPr>
          <w:rFonts w:ascii="Garamond" w:hAnsi="Garamond"/>
          <w:lang w:bidi="ar-SA"/>
        </w:rPr>
        <w:drawing>
          <wp:inline distT="0" distB="0" distL="0" distR="0" wp14:anchorId="135EB802" wp14:editId="5EDE35C1">
            <wp:extent cx="4644390" cy="2976949"/>
            <wp:effectExtent l="0" t="0" r="3810" b="0"/>
            <wp:docPr id="23" name="Picture 23" descr="C:\Users\ASUS\Downloads\WhatsApp Image 2020-11-20 at 7.53.2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0-11-20 at 7.53.29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4390" cy="2976949"/>
                    </a:xfrm>
                    <a:prstGeom prst="rect">
                      <a:avLst/>
                    </a:prstGeom>
                    <a:noFill/>
                    <a:ln>
                      <a:noFill/>
                    </a:ln>
                  </pic:spPr>
                </pic:pic>
              </a:graphicData>
            </a:graphic>
          </wp:inline>
        </w:drawing>
      </w:r>
    </w:p>
    <w:p w14:paraId="717BFAE5" w14:textId="77777777" w:rsidR="009D6885" w:rsidRDefault="009D6885" w:rsidP="00E62A8A">
      <w:pPr>
        <w:spacing w:line="276" w:lineRule="auto"/>
        <w:jc w:val="both"/>
        <w:rPr>
          <w:rFonts w:ascii="Garamond" w:hAnsi="Garamond"/>
          <w:b/>
        </w:rPr>
      </w:pPr>
    </w:p>
    <w:p w14:paraId="2F441765" w14:textId="77777777" w:rsidR="00743404" w:rsidRPr="007E1CEE" w:rsidRDefault="00743404" w:rsidP="00E62A8A">
      <w:pPr>
        <w:spacing w:line="276" w:lineRule="auto"/>
        <w:jc w:val="both"/>
        <w:rPr>
          <w:rFonts w:ascii="Garamond" w:hAnsi="Garamond"/>
          <w:b/>
        </w:rPr>
      </w:pPr>
      <w:r w:rsidRPr="00FB149C">
        <w:rPr>
          <w:rFonts w:ascii="Garamond" w:hAnsi="Garamond"/>
          <w:b/>
        </w:rPr>
        <w:t>The Wisdom of Mukhabarah</w:t>
      </w:r>
    </w:p>
    <w:p w14:paraId="62424060" w14:textId="77777777" w:rsidR="00743404" w:rsidRPr="00FB149C" w:rsidRDefault="00743404" w:rsidP="00E62A8A">
      <w:pPr>
        <w:spacing w:line="276" w:lineRule="auto"/>
        <w:ind w:firstLine="720"/>
        <w:jc w:val="both"/>
        <w:rPr>
          <w:rFonts w:ascii="Garamond" w:hAnsi="Garamond"/>
        </w:rPr>
      </w:pPr>
      <w:r w:rsidRPr="00FB149C">
        <w:rPr>
          <w:rFonts w:ascii="Garamond" w:hAnsi="Garamond"/>
        </w:rPr>
        <w:t>The wisdom of having Mukhabarah and Muzara'ah is that there is the potential to help each other between humans. Humans have large tracts of agricultural land, but do not have time to cultivate them. So that the land is abandoned and does not produce anything. Meanwhile, some other humans have the energy to work on agricultural land but do not have rice fields to work on.</w:t>
      </w:r>
    </w:p>
    <w:p w14:paraId="22AC960B" w14:textId="77777777" w:rsidR="00743404" w:rsidRPr="00050436" w:rsidRDefault="00743404" w:rsidP="00E62A8A">
      <w:pPr>
        <w:spacing w:line="276" w:lineRule="auto"/>
        <w:ind w:firstLine="720"/>
        <w:jc w:val="both"/>
        <w:rPr>
          <w:rFonts w:ascii="Garamond" w:hAnsi="Garamond"/>
        </w:rPr>
      </w:pPr>
      <w:r w:rsidRPr="00FB149C">
        <w:rPr>
          <w:rFonts w:ascii="Garamond" w:hAnsi="Garamond"/>
        </w:rPr>
        <w:t>So that the Mukhabarah and Muzara'ah agreements are a solution to make use of abandoned land to become productive land and provide benefits for both parties. In addition, Islamic financial institutions can also provide financing for customers engaged in agriculture on the basis of the principle of sharing the results of the harvest.</w:t>
      </w:r>
    </w:p>
    <w:p w14:paraId="5204DE70" w14:textId="77777777" w:rsidR="00743404" w:rsidRPr="007E1CEE" w:rsidRDefault="00743404" w:rsidP="00E62A8A">
      <w:pPr>
        <w:spacing w:line="276" w:lineRule="auto"/>
        <w:jc w:val="both"/>
        <w:rPr>
          <w:rFonts w:ascii="Garamond" w:hAnsi="Garamond"/>
          <w:b/>
        </w:rPr>
      </w:pPr>
      <w:r w:rsidRPr="007E1CEE">
        <w:rPr>
          <w:rFonts w:ascii="Garamond" w:hAnsi="Garamond"/>
          <w:b/>
        </w:rPr>
        <w:t>UJRAH</w:t>
      </w:r>
    </w:p>
    <w:p w14:paraId="1FD6629B" w14:textId="77777777" w:rsidR="00743404" w:rsidRPr="00050436" w:rsidRDefault="00743404" w:rsidP="00E62A8A">
      <w:pPr>
        <w:pStyle w:val="Default"/>
        <w:spacing w:line="276" w:lineRule="auto"/>
        <w:ind w:firstLine="720"/>
        <w:jc w:val="both"/>
        <w:rPr>
          <w:rFonts w:cs="Times New Roman"/>
        </w:rPr>
      </w:pPr>
      <w:r w:rsidRPr="00FB149C">
        <w:rPr>
          <w:rFonts w:cs="Times New Roman"/>
        </w:rPr>
        <w:t xml:space="preserve">Humans were created by Allah SWT as beings who cannot live alone without needing help from others. One form of human activity within the scope of muamalah is wages, which in Islamic fiqh is called ujrah. Before explaining the meaning of wages or ujrah, we will first state the operational meaning of ujrah itself. Idris Ahmad in his book entitled Fiqih Syafi'i, argues that ijarah wages-wages. This can be seen when he explained the terms and conditions of </w:t>
      </w:r>
      <w:r w:rsidRPr="00FB149C">
        <w:rPr>
          <w:rFonts w:cs="Times New Roman"/>
        </w:rPr>
        <w:lastRenderedPageBreak/>
        <w:t>wages, namely mu'jir and musta'jir (who give wages and who receive wages), while Kamaluddin A. Marzuki as the translator of fiqh sunnah by Sayyid Sabiq explained the meaning of ijarah by leasing. In Arabic, wages and rent are called ujrah.</w:t>
      </w:r>
      <w:r w:rsidRPr="00050436">
        <w:rPr>
          <w:rStyle w:val="FootnoteReference"/>
          <w:rFonts w:cs="Times New Roman"/>
        </w:rPr>
        <w:footnoteReference w:id="8"/>
      </w:r>
      <w:r w:rsidRPr="00050436">
        <w:rPr>
          <w:rFonts w:cs="Times New Roman"/>
        </w:rPr>
        <w:t xml:space="preserve"> </w:t>
      </w:r>
      <w:r w:rsidRPr="00FB149C">
        <w:rPr>
          <w:rFonts w:cs="Times New Roman"/>
        </w:rPr>
        <w:t>Al-ujrah comes from the word al-ajru, which means al-'Awadh, which means change and reward in Indonesian.</w:t>
      </w:r>
      <w:r w:rsidRPr="00050436">
        <w:rPr>
          <w:rStyle w:val="FootnoteReference"/>
          <w:rFonts w:cs="Times New Roman"/>
        </w:rPr>
        <w:footnoteReference w:id="9"/>
      </w:r>
      <w:r w:rsidRPr="00050436">
        <w:rPr>
          <w:rFonts w:cs="Times New Roman"/>
        </w:rPr>
        <w:t xml:space="preserve"> </w:t>
      </w:r>
      <w:r w:rsidRPr="00FB149C">
        <w:rPr>
          <w:rFonts w:cs="Times New Roman"/>
        </w:rPr>
        <w:t>Etymologically al-ijarah comes from the word Al-ajru which means al-'iwadh / replacement, that's why ats-Tsawabu in the context of reward is also called al-ajru / wages.</w:t>
      </w:r>
      <w:r w:rsidRPr="00050436">
        <w:rPr>
          <w:rStyle w:val="FootnoteReference"/>
          <w:rFonts w:cs="Times New Roman"/>
        </w:rPr>
        <w:footnoteReference w:id="10"/>
      </w:r>
      <w:r w:rsidRPr="00050436">
        <w:rPr>
          <w:rFonts w:cs="Times New Roman"/>
        </w:rPr>
        <w:t xml:space="preserve"> </w:t>
      </w:r>
      <w:r w:rsidRPr="00FB149C">
        <w:rPr>
          <w:rFonts w:cs="Times New Roman"/>
        </w:rPr>
        <w:t>As for the terminology, the scholars of fiqh have different opinions, including:</w:t>
      </w:r>
      <w:r w:rsidRPr="00050436">
        <w:rPr>
          <w:rStyle w:val="FootnoteReference"/>
          <w:rFonts w:cs="Times New Roman"/>
        </w:rPr>
        <w:footnoteReference w:id="11"/>
      </w:r>
    </w:p>
    <w:p w14:paraId="7E9187B5" w14:textId="77777777" w:rsidR="00743404" w:rsidRPr="00FB149C" w:rsidRDefault="00743404" w:rsidP="00E62A8A">
      <w:pPr>
        <w:pStyle w:val="ListParagraph"/>
        <w:numPr>
          <w:ilvl w:val="0"/>
          <w:numId w:val="15"/>
        </w:numPr>
        <w:spacing w:after="0"/>
        <w:jc w:val="both"/>
        <w:rPr>
          <w:rFonts w:ascii="Garamond" w:hAnsi="Garamond" w:cs="Times New Roman"/>
          <w:sz w:val="24"/>
          <w:szCs w:val="24"/>
        </w:rPr>
      </w:pPr>
      <w:r w:rsidRPr="00FB149C">
        <w:rPr>
          <w:rFonts w:ascii="Garamond" w:hAnsi="Garamond" w:cs="Times New Roman"/>
          <w:sz w:val="24"/>
          <w:szCs w:val="24"/>
        </w:rPr>
        <w:t>According to Sayyid Sabiq, al-ijarah is a type of contract or transaction to benefit by giving compensation.</w:t>
      </w:r>
    </w:p>
    <w:p w14:paraId="30101BD2" w14:textId="77777777" w:rsidR="00743404" w:rsidRPr="00050436" w:rsidRDefault="00743404" w:rsidP="00E62A8A">
      <w:pPr>
        <w:pStyle w:val="ListParagraph"/>
        <w:numPr>
          <w:ilvl w:val="0"/>
          <w:numId w:val="15"/>
        </w:numPr>
        <w:spacing w:after="0"/>
        <w:jc w:val="both"/>
        <w:rPr>
          <w:rFonts w:ascii="Garamond" w:hAnsi="Garamond" w:cs="Times New Roman"/>
          <w:sz w:val="24"/>
          <w:szCs w:val="24"/>
        </w:rPr>
      </w:pPr>
      <w:r w:rsidRPr="00FB149C">
        <w:rPr>
          <w:rFonts w:ascii="Garamond" w:hAnsi="Garamond" w:cs="Times New Roman"/>
          <w:sz w:val="24"/>
          <w:szCs w:val="24"/>
        </w:rPr>
        <w:t>According to the scholars of Syafi'iyah al-ijarah</w:t>
      </w:r>
    </w:p>
    <w:p w14:paraId="750824DF" w14:textId="77777777" w:rsidR="00743404" w:rsidRPr="00050436" w:rsidRDefault="00743404" w:rsidP="00E62A8A">
      <w:pPr>
        <w:pStyle w:val="ListParagraph"/>
        <w:spacing w:after="0"/>
        <w:ind w:left="1080"/>
        <w:jc w:val="right"/>
        <w:rPr>
          <w:rFonts w:ascii="Garamond" w:hAnsi="Garamond" w:cs="Times New Roman"/>
          <w:sz w:val="24"/>
          <w:szCs w:val="24"/>
        </w:rPr>
      </w:pPr>
      <w:r w:rsidRPr="00050436">
        <w:rPr>
          <w:rFonts w:ascii="Garamond" w:hAnsi="Garamond" w:cs="Times New Roman"/>
          <w:sz w:val="24"/>
          <w:szCs w:val="24"/>
        </w:rPr>
        <w:t> </w:t>
      </w:r>
      <w:r>
        <w:rPr>
          <w:noProof/>
        </w:rPr>
        <w:drawing>
          <wp:inline distT="0" distB="0" distL="0" distR="0" wp14:anchorId="55575319" wp14:editId="121BC578">
            <wp:extent cx="4086225" cy="3048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225" cy="304800"/>
                    </a:xfrm>
                    <a:prstGeom prst="rect">
                      <a:avLst/>
                    </a:prstGeom>
                  </pic:spPr>
                </pic:pic>
              </a:graphicData>
            </a:graphic>
          </wp:inline>
        </w:drawing>
      </w:r>
    </w:p>
    <w:p w14:paraId="547B7A31" w14:textId="77777777" w:rsidR="00743404" w:rsidRPr="00050436" w:rsidRDefault="00743404" w:rsidP="00E62A8A">
      <w:pPr>
        <w:pStyle w:val="ListParagraph"/>
        <w:spacing w:after="0"/>
        <w:ind w:left="1080"/>
        <w:jc w:val="both"/>
        <w:rPr>
          <w:rFonts w:ascii="Garamond" w:hAnsi="Garamond" w:cs="Times New Roman"/>
          <w:sz w:val="24"/>
          <w:szCs w:val="24"/>
        </w:rPr>
      </w:pPr>
      <w:r w:rsidRPr="00FB149C">
        <w:rPr>
          <w:rFonts w:ascii="Garamond" w:hAnsi="Garamond" w:cs="Times New Roman"/>
          <w:sz w:val="24"/>
          <w:szCs w:val="24"/>
        </w:rPr>
        <w:t xml:space="preserve">This means: </w:t>
      </w:r>
      <w:r w:rsidRPr="00FB149C">
        <w:rPr>
          <w:rFonts w:ascii="Garamond" w:hAnsi="Garamond" w:cs="Times New Roman"/>
          <w:i/>
          <w:iCs/>
          <w:sz w:val="24"/>
          <w:szCs w:val="24"/>
        </w:rPr>
        <w:t>"An agreement for a benefit that contains a specific purpose which is changeable, as well as receiving a substitute or an allowance with a certain substitute."</w:t>
      </w:r>
    </w:p>
    <w:p w14:paraId="200B9B52" w14:textId="77777777" w:rsidR="00743404" w:rsidRPr="00671C99" w:rsidRDefault="00743404" w:rsidP="00E62A8A">
      <w:pPr>
        <w:pStyle w:val="ListParagraph"/>
        <w:spacing w:after="0"/>
        <w:ind w:left="1080"/>
        <w:jc w:val="both"/>
        <w:rPr>
          <w:rFonts w:ascii="Garamond" w:hAnsi="Garamond" w:cs="Times New Roman"/>
          <w:sz w:val="24"/>
          <w:szCs w:val="24"/>
        </w:rPr>
      </w:pPr>
      <w:r w:rsidRPr="00671C99">
        <w:rPr>
          <w:rFonts w:ascii="Garamond" w:hAnsi="Garamond" w:cs="Times New Roman"/>
          <w:sz w:val="24"/>
          <w:szCs w:val="24"/>
        </w:rPr>
        <w:t>So wages are a type of contract or transaction for an intended, specific, mutable, and permissible benefit by giving certain rewards.</w:t>
      </w:r>
    </w:p>
    <w:p w14:paraId="78525361" w14:textId="77777777" w:rsidR="00743404" w:rsidRDefault="00743404" w:rsidP="00E62A8A">
      <w:pPr>
        <w:pStyle w:val="ListParagraph"/>
        <w:numPr>
          <w:ilvl w:val="0"/>
          <w:numId w:val="15"/>
        </w:numPr>
        <w:spacing w:after="0"/>
        <w:jc w:val="both"/>
        <w:rPr>
          <w:rFonts w:ascii="Garamond" w:hAnsi="Garamond" w:cs="Times New Roman"/>
          <w:sz w:val="24"/>
          <w:szCs w:val="24"/>
        </w:rPr>
      </w:pPr>
      <w:r w:rsidRPr="00671C99">
        <w:rPr>
          <w:rFonts w:ascii="Garamond" w:hAnsi="Garamond" w:cs="Times New Roman"/>
          <w:sz w:val="24"/>
          <w:szCs w:val="24"/>
        </w:rPr>
        <w:t>According to Amir Syarifuddin al-ijarah in simple terms it can be defined as a contract or transaction of benefits or services for a certain fee. If the object of the transaction is the benefit or service of an object, it is called ijarah al'Ain, such as renting a house to live in. If the object of a benefit or service transaction from one's labor is called Ijarah ad-Dzimmah or wages, such as wages for typing a thesis. Although the two objects differ in the context of fiqh it is called al-ijarah.</w:t>
      </w:r>
    </w:p>
    <w:p w14:paraId="0955B218" w14:textId="77777777" w:rsidR="00743404" w:rsidRPr="00671C99" w:rsidRDefault="00743404" w:rsidP="00E62A8A">
      <w:pPr>
        <w:pStyle w:val="ListParagraph"/>
        <w:numPr>
          <w:ilvl w:val="0"/>
          <w:numId w:val="15"/>
        </w:numPr>
        <w:spacing w:after="0"/>
        <w:jc w:val="both"/>
        <w:rPr>
          <w:rFonts w:ascii="Garamond" w:hAnsi="Garamond" w:cs="Times New Roman"/>
          <w:sz w:val="24"/>
          <w:szCs w:val="24"/>
        </w:rPr>
      </w:pPr>
      <w:r w:rsidRPr="00671C99">
        <w:rPr>
          <w:rFonts w:ascii="Garamond" w:hAnsi="Garamond" w:cs="Times New Roman"/>
          <w:sz w:val="24"/>
          <w:szCs w:val="24"/>
        </w:rPr>
        <w:t>Hanafiyah scholars:</w:t>
      </w:r>
    </w:p>
    <w:p w14:paraId="379DEDF4" w14:textId="77777777" w:rsidR="00743404" w:rsidRDefault="00743404" w:rsidP="00E62A8A">
      <w:pPr>
        <w:pStyle w:val="ListParagraph"/>
        <w:spacing w:after="0"/>
        <w:ind w:left="1080"/>
        <w:jc w:val="both"/>
        <w:rPr>
          <w:rFonts w:ascii="Garamond" w:hAnsi="Garamond" w:cs="Times New Roman"/>
          <w:sz w:val="24"/>
          <w:szCs w:val="24"/>
        </w:rPr>
      </w:pPr>
      <w:r>
        <w:rPr>
          <w:noProof/>
        </w:rPr>
        <w:drawing>
          <wp:inline distT="0" distB="0" distL="0" distR="0" wp14:anchorId="4E7348D6" wp14:editId="37BE1515">
            <wp:extent cx="1238250" cy="2762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38250" cy="276225"/>
                    </a:xfrm>
                    <a:prstGeom prst="rect">
                      <a:avLst/>
                    </a:prstGeom>
                  </pic:spPr>
                </pic:pic>
              </a:graphicData>
            </a:graphic>
          </wp:inline>
        </w:drawing>
      </w:r>
    </w:p>
    <w:p w14:paraId="40BE7C10" w14:textId="77777777" w:rsidR="00743404" w:rsidRPr="00050436" w:rsidRDefault="00743404" w:rsidP="00E62A8A">
      <w:pPr>
        <w:pStyle w:val="ListParagraph"/>
        <w:spacing w:after="0"/>
        <w:ind w:left="1080"/>
        <w:jc w:val="both"/>
        <w:rPr>
          <w:rFonts w:ascii="Garamond" w:hAnsi="Garamond" w:cs="Times New Roman"/>
          <w:i/>
          <w:iCs/>
          <w:sz w:val="24"/>
          <w:szCs w:val="24"/>
        </w:rPr>
      </w:pPr>
      <w:r w:rsidRPr="00671C99">
        <w:rPr>
          <w:rFonts w:ascii="Garamond" w:hAnsi="Garamond" w:cs="Times New Roman"/>
          <w:sz w:val="24"/>
          <w:szCs w:val="24"/>
        </w:rPr>
        <w:t xml:space="preserve">Meaning: </w:t>
      </w:r>
      <w:r w:rsidRPr="00671C99">
        <w:rPr>
          <w:rFonts w:ascii="Garamond" w:hAnsi="Garamond" w:cs="Times New Roman"/>
          <w:i/>
          <w:iCs/>
          <w:sz w:val="24"/>
          <w:szCs w:val="24"/>
        </w:rPr>
        <w:t>"Contract of benefit with a substitute."</w:t>
      </w:r>
    </w:p>
    <w:p w14:paraId="66AA4428" w14:textId="77777777" w:rsidR="00743404" w:rsidRPr="00050436" w:rsidRDefault="00743404" w:rsidP="00E62A8A">
      <w:pPr>
        <w:pStyle w:val="ListParagraph"/>
        <w:numPr>
          <w:ilvl w:val="0"/>
          <w:numId w:val="15"/>
        </w:numPr>
        <w:spacing w:after="0"/>
        <w:jc w:val="both"/>
        <w:rPr>
          <w:rFonts w:ascii="Garamond" w:hAnsi="Garamond" w:cs="Times New Roman"/>
          <w:sz w:val="24"/>
          <w:szCs w:val="24"/>
        </w:rPr>
      </w:pPr>
      <w:r w:rsidRPr="00671C99">
        <w:rPr>
          <w:rFonts w:ascii="Garamond" w:hAnsi="Garamond" w:cs="Times New Roman"/>
          <w:sz w:val="24"/>
          <w:szCs w:val="24"/>
        </w:rPr>
        <w:t>Malikiyah and Hambaliyah scholars</w:t>
      </w:r>
      <w:r w:rsidRPr="00050436">
        <w:rPr>
          <w:rFonts w:ascii="Garamond" w:hAnsi="Garamond" w:cs="Times New Roman"/>
          <w:sz w:val="24"/>
          <w:szCs w:val="24"/>
        </w:rPr>
        <w:t>:</w:t>
      </w:r>
    </w:p>
    <w:p w14:paraId="2D05A446" w14:textId="77777777" w:rsidR="00743404" w:rsidRDefault="00743404" w:rsidP="00E62A8A">
      <w:pPr>
        <w:pStyle w:val="ListParagraph"/>
        <w:ind w:left="1080"/>
        <w:jc w:val="both"/>
        <w:rPr>
          <w:rFonts w:ascii="Garamond" w:hAnsi="Garamond" w:cs="Times New Roman"/>
          <w:b/>
          <w:bCs/>
          <w:sz w:val="24"/>
          <w:szCs w:val="24"/>
        </w:rPr>
      </w:pPr>
      <w:r>
        <w:rPr>
          <w:noProof/>
        </w:rPr>
        <w:lastRenderedPageBreak/>
        <w:drawing>
          <wp:inline distT="0" distB="0" distL="0" distR="0" wp14:anchorId="123B8A38" wp14:editId="113233AE">
            <wp:extent cx="2400300" cy="3143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00300" cy="314325"/>
                    </a:xfrm>
                    <a:prstGeom prst="rect">
                      <a:avLst/>
                    </a:prstGeom>
                  </pic:spPr>
                </pic:pic>
              </a:graphicData>
            </a:graphic>
          </wp:inline>
        </w:drawing>
      </w:r>
    </w:p>
    <w:p w14:paraId="4C7BE0EE" w14:textId="77777777" w:rsidR="00743404" w:rsidRPr="00050436" w:rsidRDefault="00743404" w:rsidP="00E62A8A">
      <w:pPr>
        <w:pStyle w:val="ListParagraph"/>
        <w:ind w:left="1080"/>
        <w:jc w:val="both"/>
        <w:rPr>
          <w:rFonts w:ascii="Garamond" w:hAnsi="Garamond" w:cs="Times New Roman"/>
          <w:sz w:val="24"/>
          <w:szCs w:val="24"/>
        </w:rPr>
      </w:pPr>
      <w:r w:rsidRPr="00671C99">
        <w:rPr>
          <w:rFonts w:ascii="Garamond" w:hAnsi="Garamond" w:cs="Times New Roman"/>
          <w:sz w:val="24"/>
          <w:szCs w:val="24"/>
        </w:rPr>
        <w:t xml:space="preserve">Meaning: </w:t>
      </w:r>
      <w:r w:rsidRPr="00671C99">
        <w:rPr>
          <w:rFonts w:ascii="Garamond" w:hAnsi="Garamond" w:cs="Times New Roman"/>
          <w:i/>
          <w:iCs/>
          <w:sz w:val="24"/>
          <w:szCs w:val="24"/>
        </w:rPr>
        <w:t>"Making the property of something immutable in a certain time with a substitute.</w:t>
      </w:r>
      <w:r w:rsidRPr="00050436">
        <w:rPr>
          <w:rFonts w:ascii="Garamond" w:hAnsi="Garamond" w:cs="Times New Roman"/>
          <w:i/>
          <w:iCs/>
          <w:sz w:val="24"/>
          <w:szCs w:val="24"/>
        </w:rPr>
        <w:t>”</w:t>
      </w:r>
      <w:r w:rsidRPr="00050436">
        <w:rPr>
          <w:rStyle w:val="FootnoteReference"/>
          <w:rFonts w:ascii="Garamond" w:hAnsi="Garamond" w:cs="Times New Roman"/>
          <w:i/>
          <w:iCs/>
          <w:sz w:val="24"/>
          <w:szCs w:val="24"/>
        </w:rPr>
        <w:footnoteReference w:id="12"/>
      </w:r>
    </w:p>
    <w:p w14:paraId="4770D996" w14:textId="77777777" w:rsidR="00743404" w:rsidRPr="00671C99" w:rsidRDefault="00743404" w:rsidP="00E62A8A">
      <w:pPr>
        <w:spacing w:line="276" w:lineRule="auto"/>
        <w:ind w:firstLine="720"/>
        <w:jc w:val="both"/>
        <w:rPr>
          <w:rFonts w:ascii="Garamond" w:hAnsi="Garamond"/>
          <w:lang w:val="id-ID"/>
        </w:rPr>
      </w:pPr>
      <w:r w:rsidRPr="00671C99">
        <w:rPr>
          <w:rFonts w:ascii="Garamond" w:hAnsi="Garamond"/>
        </w:rPr>
        <w:t>Meanwhile, the meaning of wages in the Indonesian dictionary is money and so on which is paid as retribution for services or as payment for labor that has been done to do something.</w:t>
      </w:r>
      <w:r w:rsidRPr="00050436">
        <w:rPr>
          <w:rStyle w:val="FootnoteReference"/>
          <w:rFonts w:ascii="Garamond" w:hAnsi="Garamond"/>
        </w:rPr>
        <w:footnoteReference w:id="13"/>
      </w:r>
      <w:r>
        <w:rPr>
          <w:rFonts w:ascii="Garamond" w:hAnsi="Garamond"/>
          <w:lang w:val="id-ID"/>
        </w:rPr>
        <w:t xml:space="preserve"> </w:t>
      </w:r>
      <w:r w:rsidRPr="00671C99">
        <w:rPr>
          <w:rFonts w:ascii="Garamond" w:hAnsi="Garamond"/>
          <w:lang w:val="id-ID"/>
        </w:rPr>
        <w:t>Nurimansyah Haribuan defines that wages are all forms of income received by laborers (workers) either in the form of money or goods within a certain period of time in an economic activity.</w:t>
      </w:r>
      <w:r w:rsidRPr="00050436">
        <w:rPr>
          <w:rStyle w:val="FootnoteReference"/>
          <w:rFonts w:ascii="Garamond" w:hAnsi="Garamond"/>
        </w:rPr>
        <w:footnoteReference w:id="14"/>
      </w:r>
    </w:p>
    <w:p w14:paraId="4F582223" w14:textId="77777777" w:rsidR="00743404" w:rsidRPr="00050436" w:rsidRDefault="00743404" w:rsidP="00E62A8A">
      <w:pPr>
        <w:spacing w:line="276" w:lineRule="auto"/>
        <w:ind w:firstLine="720"/>
        <w:jc w:val="both"/>
        <w:rPr>
          <w:rFonts w:ascii="Garamond" w:hAnsi="Garamond"/>
        </w:rPr>
      </w:pPr>
      <w:r w:rsidRPr="00671C99">
        <w:rPr>
          <w:rFonts w:ascii="Garamond" w:hAnsi="Garamond"/>
        </w:rPr>
        <w:t>Based on the definitions above, it can be understood that ijarah is the exchange of something for something in return, translated in Indonesian means renting and wages, renting is "selling benefits" and wages are "selling energy or strength"</w:t>
      </w:r>
      <w:r w:rsidRPr="00050436">
        <w:rPr>
          <w:rFonts w:ascii="Garamond" w:hAnsi="Garamond"/>
        </w:rPr>
        <w:t>.</w:t>
      </w:r>
      <w:r w:rsidRPr="00050436">
        <w:rPr>
          <w:rStyle w:val="FootnoteReference"/>
          <w:rFonts w:ascii="Garamond" w:hAnsi="Garamond"/>
        </w:rPr>
        <w:footnoteReference w:id="15"/>
      </w:r>
      <w:r>
        <w:rPr>
          <w:rFonts w:ascii="Garamond" w:hAnsi="Garamond"/>
          <w:lang w:val="id-ID"/>
        </w:rPr>
        <w:t xml:space="preserve"> </w:t>
      </w:r>
      <w:r w:rsidRPr="00671C99">
        <w:rPr>
          <w:rFonts w:ascii="Garamond" w:hAnsi="Garamond"/>
        </w:rPr>
        <w:t xml:space="preserve">Wages are also known as buying and selling services. For example, the cost of public transportation, construction project wages, and so on. The hadith of the Prophet Muhammad regarding wages narrated by Abu Dhar that Rasulullah s.a.w said: </w:t>
      </w:r>
      <w:r w:rsidRPr="00671C99">
        <w:rPr>
          <w:rFonts w:ascii="Garamond" w:hAnsi="Garamond"/>
          <w:i/>
          <w:iCs/>
        </w:rPr>
        <w:t>"They (your slaves and servants) are your brothers, Allah placed them under your care; so that whoever has relatives under his care must be given food like what he (himself) eats and clothes like what he (himself) wore; and do not burden them with very heavy tasks, and if you burden them with tasks like that, then let them help them (do it). "</w:t>
      </w:r>
      <w:r w:rsidRPr="00671C99">
        <w:rPr>
          <w:rFonts w:ascii="Garamond" w:hAnsi="Garamond"/>
        </w:rPr>
        <w:t>(Narrated by Muslim). From the above hadith, it can be defined that Wages are rewards received by a person for his work in the form of material rewards in the world (Fair and Proper) and in the form of rewards in the hereafter (better rewards).</w:t>
      </w:r>
    </w:p>
    <w:p w14:paraId="03227FF8" w14:textId="77777777" w:rsidR="00743404" w:rsidRPr="00A00C0F" w:rsidRDefault="00743404" w:rsidP="00E62A8A">
      <w:pPr>
        <w:spacing w:line="276" w:lineRule="auto"/>
        <w:jc w:val="both"/>
        <w:rPr>
          <w:rFonts w:ascii="Garamond" w:hAnsi="Garamond"/>
          <w:b/>
        </w:rPr>
      </w:pPr>
      <w:r w:rsidRPr="00671C99">
        <w:rPr>
          <w:rFonts w:ascii="Garamond" w:hAnsi="Garamond"/>
          <w:b/>
        </w:rPr>
        <w:t>Foundation of Shari'ah</w:t>
      </w:r>
    </w:p>
    <w:p w14:paraId="5D940C1B" w14:textId="77777777" w:rsidR="00743404" w:rsidRPr="00050436" w:rsidRDefault="00743404" w:rsidP="00E62A8A">
      <w:pPr>
        <w:spacing w:line="276" w:lineRule="auto"/>
        <w:ind w:firstLine="720"/>
        <w:jc w:val="both"/>
        <w:rPr>
          <w:rFonts w:ascii="Garamond" w:hAnsi="Garamond"/>
        </w:rPr>
      </w:pPr>
      <w:r w:rsidRPr="00B0180D">
        <w:rPr>
          <w:rFonts w:ascii="Garamond" w:hAnsi="Garamond"/>
        </w:rPr>
        <w:t>Jumhur fuqaha agreed that the law of changeable wages. This is because wages are needed in everyday life. Wages are a very human contract. Because someone in his life is not able to fulfill all his work and desires, unless he gives rewards to others to help him</w:t>
      </w:r>
      <w:r w:rsidRPr="00050436">
        <w:rPr>
          <w:rFonts w:ascii="Garamond" w:hAnsi="Garamond"/>
        </w:rPr>
        <w:t>.</w:t>
      </w:r>
      <w:r w:rsidRPr="00050436">
        <w:rPr>
          <w:rStyle w:val="FootnoteReference"/>
          <w:rFonts w:ascii="Garamond" w:hAnsi="Garamond"/>
        </w:rPr>
        <w:footnoteReference w:id="16"/>
      </w:r>
    </w:p>
    <w:p w14:paraId="13A15ECD" w14:textId="77777777" w:rsidR="00743404" w:rsidRPr="00050436" w:rsidRDefault="00743404" w:rsidP="00E62A8A">
      <w:pPr>
        <w:spacing w:line="276" w:lineRule="auto"/>
        <w:ind w:firstLine="720"/>
        <w:jc w:val="both"/>
        <w:rPr>
          <w:rFonts w:ascii="Garamond" w:hAnsi="Garamond"/>
        </w:rPr>
      </w:pPr>
      <w:r w:rsidRPr="00B0180D">
        <w:rPr>
          <w:rFonts w:ascii="Garamond" w:hAnsi="Garamond"/>
        </w:rPr>
        <w:t>Here are some of the foundations for wages:</w:t>
      </w:r>
    </w:p>
    <w:p w14:paraId="30BE93AC" w14:textId="77777777" w:rsidR="00743404" w:rsidRPr="00050436" w:rsidRDefault="00743404" w:rsidP="00E62A8A">
      <w:pPr>
        <w:pStyle w:val="ListParagraph"/>
        <w:numPr>
          <w:ilvl w:val="0"/>
          <w:numId w:val="16"/>
        </w:numPr>
        <w:spacing w:after="0"/>
        <w:jc w:val="both"/>
        <w:rPr>
          <w:rFonts w:ascii="Garamond" w:hAnsi="Garamond" w:cs="Times New Roman"/>
          <w:sz w:val="24"/>
          <w:szCs w:val="24"/>
        </w:rPr>
      </w:pPr>
      <w:r w:rsidRPr="00050436">
        <w:rPr>
          <w:rFonts w:ascii="Garamond" w:hAnsi="Garamond" w:cs="Times New Roman"/>
          <w:sz w:val="24"/>
          <w:szCs w:val="24"/>
        </w:rPr>
        <w:lastRenderedPageBreak/>
        <w:t>Q.S. Az Zukhruf ayat 32</w:t>
      </w:r>
    </w:p>
    <w:p w14:paraId="1A3405FA" w14:textId="77777777" w:rsidR="00743404" w:rsidRDefault="00743404" w:rsidP="001D40BD">
      <w:pPr>
        <w:pStyle w:val="ListParagraph"/>
        <w:spacing w:after="0"/>
        <w:ind w:left="1080" w:right="834"/>
        <w:jc w:val="both"/>
        <w:rPr>
          <w:rFonts w:ascii="Garamond" w:hAnsi="Garamond" w:cs="Times New Roman"/>
          <w:i/>
          <w:iCs/>
          <w:sz w:val="24"/>
          <w:szCs w:val="24"/>
        </w:rPr>
      </w:pPr>
      <w:r>
        <w:rPr>
          <w:noProof/>
        </w:rPr>
        <w:drawing>
          <wp:anchor distT="0" distB="0" distL="114300" distR="114300" simplePos="0" relativeHeight="251678720" behindDoc="1" locked="0" layoutInCell="1" allowOverlap="1" wp14:anchorId="5C741407" wp14:editId="1C62AAF9">
            <wp:simplePos x="0" y="0"/>
            <wp:positionH relativeFrom="column">
              <wp:posOffset>247015</wp:posOffset>
            </wp:positionH>
            <wp:positionV relativeFrom="paragraph">
              <wp:posOffset>0</wp:posOffset>
            </wp:positionV>
            <wp:extent cx="4295775" cy="838200"/>
            <wp:effectExtent l="0" t="0" r="9525" b="0"/>
            <wp:wrapTight wrapText="bothSides">
              <wp:wrapPolygon edited="0">
                <wp:start x="0" y="0"/>
                <wp:lineTo x="0" y="21109"/>
                <wp:lineTo x="21552" y="21109"/>
                <wp:lineTo x="2155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295775" cy="838200"/>
                    </a:xfrm>
                    <a:prstGeom prst="rect">
                      <a:avLst/>
                    </a:prstGeom>
                  </pic:spPr>
                </pic:pic>
              </a:graphicData>
            </a:graphic>
          </wp:anchor>
        </w:drawing>
      </w:r>
    </w:p>
    <w:p w14:paraId="58D60F27" w14:textId="77777777" w:rsidR="00743404" w:rsidRPr="00050436" w:rsidRDefault="00743404" w:rsidP="00E62A8A">
      <w:pPr>
        <w:pStyle w:val="ListParagraph"/>
        <w:spacing w:after="0"/>
        <w:ind w:left="1080"/>
        <w:jc w:val="both"/>
        <w:rPr>
          <w:rFonts w:ascii="Garamond" w:hAnsi="Garamond" w:cs="Times New Roman"/>
          <w:i/>
          <w:iCs/>
          <w:sz w:val="24"/>
          <w:szCs w:val="24"/>
        </w:rPr>
      </w:pPr>
      <w:r w:rsidRPr="00B0180D">
        <w:rPr>
          <w:rFonts w:ascii="Garamond" w:hAnsi="Garamond" w:cs="Times New Roman"/>
          <w:i/>
          <w:iCs/>
          <w:sz w:val="24"/>
          <w:szCs w:val="24"/>
        </w:rPr>
        <w:t xml:space="preserve">"Are they sharing the grace of your Lord? We have determined between them their livelihood in the life of the world, and </w:t>
      </w:r>
      <w:proofErr w:type="gramStart"/>
      <w:r w:rsidRPr="00B0180D">
        <w:rPr>
          <w:rFonts w:ascii="Garamond" w:hAnsi="Garamond" w:cs="Times New Roman"/>
          <w:i/>
          <w:iCs/>
          <w:sz w:val="24"/>
          <w:szCs w:val="24"/>
        </w:rPr>
        <w:t>We</w:t>
      </w:r>
      <w:proofErr w:type="gramEnd"/>
      <w:r w:rsidRPr="00B0180D">
        <w:rPr>
          <w:rFonts w:ascii="Garamond" w:hAnsi="Garamond" w:cs="Times New Roman"/>
          <w:i/>
          <w:iCs/>
          <w:sz w:val="24"/>
          <w:szCs w:val="24"/>
        </w:rPr>
        <w:t xml:space="preserve"> have exalted some of them above some of the others to some degree, so that some of them may use some of the others. </w:t>
      </w:r>
      <w:proofErr w:type="gramStart"/>
      <w:r w:rsidRPr="00B0180D">
        <w:rPr>
          <w:rFonts w:ascii="Garamond" w:hAnsi="Garamond" w:cs="Times New Roman"/>
          <w:i/>
          <w:iCs/>
          <w:sz w:val="24"/>
          <w:szCs w:val="24"/>
        </w:rPr>
        <w:t>and</w:t>
      </w:r>
      <w:proofErr w:type="gramEnd"/>
      <w:r w:rsidRPr="00B0180D">
        <w:rPr>
          <w:rFonts w:ascii="Garamond" w:hAnsi="Garamond" w:cs="Times New Roman"/>
          <w:i/>
          <w:iCs/>
          <w:sz w:val="24"/>
          <w:szCs w:val="24"/>
        </w:rPr>
        <w:t xml:space="preserve"> your Lord's grace is better than what they have gathered. "</w:t>
      </w:r>
      <w:r w:rsidRPr="00050436">
        <w:rPr>
          <w:rFonts w:ascii="Garamond" w:hAnsi="Garamond" w:cs="Times New Roman"/>
          <w:i/>
          <w:iCs/>
          <w:sz w:val="24"/>
          <w:szCs w:val="24"/>
        </w:rPr>
        <w:t>.</w:t>
      </w:r>
      <w:r w:rsidRPr="00050436">
        <w:rPr>
          <w:rStyle w:val="FootnoteReference"/>
          <w:rFonts w:ascii="Garamond" w:hAnsi="Garamond" w:cs="Times New Roman"/>
          <w:i/>
          <w:iCs/>
          <w:sz w:val="24"/>
          <w:szCs w:val="24"/>
        </w:rPr>
        <w:footnoteReference w:id="17"/>
      </w:r>
    </w:p>
    <w:p w14:paraId="27102203" w14:textId="77777777" w:rsidR="00743404" w:rsidRPr="00050436" w:rsidRDefault="00743404" w:rsidP="00E62A8A">
      <w:pPr>
        <w:pStyle w:val="ListParagraph"/>
        <w:ind w:left="1080" w:firstLine="360"/>
        <w:jc w:val="both"/>
        <w:rPr>
          <w:rFonts w:ascii="Garamond" w:hAnsi="Garamond" w:cs="Times New Roman"/>
          <w:sz w:val="24"/>
          <w:szCs w:val="24"/>
        </w:rPr>
      </w:pPr>
      <w:r w:rsidRPr="00B0180D">
        <w:rPr>
          <w:rFonts w:ascii="Garamond" w:hAnsi="Garamond" w:cs="Times New Roman"/>
          <w:sz w:val="24"/>
          <w:szCs w:val="24"/>
        </w:rPr>
        <w:t>The verse above emphasizes that the bestowal of God's grace, let alone the giving of time, is solely the authority of Allah, not humans. Allah has divided people's means of living in the life of the world, because they cannot do it alone and Allah has exalted some of them in property, knowledge, strength, etc. over others, so that they can help each other in fulfilling necessities of life. Because of that each of them needs each other in seeking and managing their lives. And Allah's grace is good from what they accumulate despite all the wealth and worldly power, so that they can achieve worldly and heavenly happiness.</w:t>
      </w:r>
      <w:r w:rsidRPr="00050436">
        <w:rPr>
          <w:rStyle w:val="FootnoteReference"/>
          <w:rFonts w:ascii="Garamond" w:hAnsi="Garamond" w:cs="Times New Roman"/>
          <w:sz w:val="24"/>
          <w:szCs w:val="24"/>
        </w:rPr>
        <w:footnoteReference w:id="18"/>
      </w:r>
    </w:p>
    <w:p w14:paraId="30F59493" w14:textId="77777777" w:rsidR="00743404" w:rsidRPr="00050436" w:rsidRDefault="00743404" w:rsidP="00E62A8A">
      <w:pPr>
        <w:pStyle w:val="ListParagraph"/>
        <w:numPr>
          <w:ilvl w:val="0"/>
          <w:numId w:val="16"/>
        </w:numPr>
        <w:spacing w:after="0"/>
        <w:jc w:val="both"/>
        <w:rPr>
          <w:rFonts w:ascii="Garamond" w:hAnsi="Garamond" w:cs="Times New Roman"/>
          <w:sz w:val="24"/>
          <w:szCs w:val="24"/>
        </w:rPr>
      </w:pPr>
      <w:r w:rsidRPr="00B0180D">
        <w:rPr>
          <w:rFonts w:ascii="Garamond" w:hAnsi="Garamond" w:cs="Times New Roman"/>
          <w:sz w:val="24"/>
          <w:szCs w:val="24"/>
        </w:rPr>
        <w:t>In the hadith of the Prophet</w:t>
      </w:r>
    </w:p>
    <w:p w14:paraId="585189D1" w14:textId="77777777" w:rsidR="00743404" w:rsidRPr="00050436" w:rsidRDefault="00743404" w:rsidP="00E62A8A">
      <w:pPr>
        <w:pStyle w:val="ListParagraph"/>
        <w:spacing w:after="0"/>
        <w:ind w:left="1080"/>
        <w:jc w:val="both"/>
        <w:rPr>
          <w:rFonts w:ascii="Garamond" w:hAnsi="Garamond" w:cs="Times New Roman"/>
          <w:i/>
          <w:iCs/>
          <w:sz w:val="24"/>
          <w:szCs w:val="24"/>
        </w:rPr>
      </w:pPr>
      <w:r w:rsidRPr="00B0180D">
        <w:rPr>
          <w:rFonts w:ascii="Garamond" w:hAnsi="Garamond" w:cs="Times New Roman"/>
          <w:i/>
          <w:iCs/>
          <w:sz w:val="24"/>
          <w:szCs w:val="24"/>
        </w:rPr>
        <w:t>"Has told me Yusuf bin Muhammad said, had told me Yahya bin Sulaim from Isma'il bin Umayyah from Sa'id bin Abi Sa'id from Abu Hurairah radliallahu 'anhu from the Prophet sallallaahu' alaihi wasallam said: Allah Ta'ala said: There are three kinds of people whom I fought against on the day of Qiyamat, someone who swore on my name and then denied it, someone who traded free people then ate (money of) the price and someone who hired workers then the worker finished his work but was not paid his wages. " (H.R. Bukhari).</w:t>
      </w:r>
      <w:r w:rsidRPr="00050436">
        <w:rPr>
          <w:rStyle w:val="FootnoteReference"/>
          <w:rFonts w:ascii="Garamond" w:hAnsi="Garamond" w:cs="Times New Roman"/>
          <w:i/>
          <w:iCs/>
          <w:sz w:val="24"/>
          <w:szCs w:val="24"/>
        </w:rPr>
        <w:footnoteReference w:id="19"/>
      </w:r>
    </w:p>
    <w:p w14:paraId="4B20FC87" w14:textId="77777777" w:rsidR="00743404" w:rsidRPr="00050436" w:rsidRDefault="00743404" w:rsidP="00E62A8A">
      <w:pPr>
        <w:pStyle w:val="ListParagraph"/>
        <w:spacing w:after="0"/>
        <w:ind w:left="1080"/>
        <w:jc w:val="both"/>
        <w:rPr>
          <w:rFonts w:ascii="Garamond" w:hAnsi="Garamond" w:cs="Times New Roman"/>
          <w:i/>
          <w:iCs/>
          <w:sz w:val="24"/>
          <w:szCs w:val="24"/>
        </w:rPr>
      </w:pPr>
      <w:r w:rsidRPr="00B0180D">
        <w:rPr>
          <w:rFonts w:ascii="Garamond" w:hAnsi="Garamond" w:cs="Times New Roman"/>
          <w:i/>
          <w:iCs/>
          <w:sz w:val="24"/>
          <w:szCs w:val="24"/>
        </w:rPr>
        <w:t>"Al-Abbas ibn al-Walid al-Dimasyqiy has reported to us, (he said) Wahb ibn Sa'id ibn „Athiyyah al-Salamiy has reported to us, (he said</w:t>
      </w:r>
      <w:proofErr w:type="gramStart"/>
      <w:r w:rsidRPr="00B0180D">
        <w:rPr>
          <w:rFonts w:ascii="Garamond" w:hAnsi="Garamond" w:cs="Times New Roman"/>
          <w:i/>
          <w:iCs/>
          <w:sz w:val="24"/>
          <w:szCs w:val="24"/>
        </w:rPr>
        <w:t>)„</w:t>
      </w:r>
      <w:proofErr w:type="gramEnd"/>
      <w:r w:rsidRPr="00B0180D">
        <w:rPr>
          <w:rFonts w:ascii="Garamond" w:hAnsi="Garamond" w:cs="Times New Roman"/>
          <w:i/>
          <w:iCs/>
          <w:sz w:val="24"/>
          <w:szCs w:val="24"/>
        </w:rPr>
        <w:t xml:space="preserve"> Abdu al-Rahman ibn Zaid ibn Salim has reported to us, (the news came) from his father, </w:t>
      </w:r>
      <w:r w:rsidRPr="00B0180D">
        <w:rPr>
          <w:rFonts w:ascii="Garamond" w:hAnsi="Garamond" w:cs="Times New Roman"/>
          <w:i/>
          <w:iCs/>
          <w:sz w:val="24"/>
          <w:szCs w:val="24"/>
        </w:rPr>
        <w:lastRenderedPageBreak/>
        <w:t xml:space="preserve">from „Abdillah ibn„ Umar he said: Rasulullah SAW. </w:t>
      </w:r>
      <w:proofErr w:type="gramStart"/>
      <w:r w:rsidRPr="00B0180D">
        <w:rPr>
          <w:rFonts w:ascii="Garamond" w:hAnsi="Garamond" w:cs="Times New Roman"/>
          <w:i/>
          <w:iCs/>
          <w:sz w:val="24"/>
          <w:szCs w:val="24"/>
        </w:rPr>
        <w:t>has</w:t>
      </w:r>
      <w:proofErr w:type="gramEnd"/>
      <w:r w:rsidRPr="00B0180D">
        <w:rPr>
          <w:rFonts w:ascii="Garamond" w:hAnsi="Garamond" w:cs="Times New Roman"/>
          <w:i/>
          <w:iCs/>
          <w:sz w:val="24"/>
          <w:szCs w:val="24"/>
        </w:rPr>
        <w:t xml:space="preserve"> said: "Give to the laborer the fare before the sweat dries". (H.R Ibn Majah).</w:t>
      </w:r>
      <w:r w:rsidRPr="00050436">
        <w:rPr>
          <w:rStyle w:val="FootnoteReference"/>
          <w:rFonts w:ascii="Garamond" w:hAnsi="Garamond" w:cs="Times New Roman"/>
          <w:i/>
          <w:iCs/>
          <w:sz w:val="24"/>
          <w:szCs w:val="24"/>
        </w:rPr>
        <w:footnoteReference w:id="20"/>
      </w:r>
    </w:p>
    <w:p w14:paraId="4B84AC92" w14:textId="77777777" w:rsidR="00743404" w:rsidRPr="00BE4FDB" w:rsidRDefault="00743404" w:rsidP="00E62A8A">
      <w:pPr>
        <w:pStyle w:val="ListParagraph"/>
        <w:ind w:left="1080"/>
        <w:jc w:val="both"/>
        <w:rPr>
          <w:rFonts w:ascii="Garamond" w:hAnsi="Garamond" w:cs="Times New Roman"/>
          <w:i/>
          <w:iCs/>
          <w:sz w:val="24"/>
          <w:szCs w:val="24"/>
        </w:rPr>
      </w:pPr>
      <w:r w:rsidRPr="00B0180D">
        <w:rPr>
          <w:rFonts w:ascii="Garamond" w:hAnsi="Garamond" w:cs="Times New Roman"/>
          <w:i/>
          <w:iCs/>
          <w:sz w:val="24"/>
          <w:szCs w:val="24"/>
        </w:rPr>
        <w:t>"Has told us Musa bin Isma'il has told us Wuhaib has told us Ibn Thowus from his father from Ibn 'Abbas radliallahu' anhuma said; The Prophet sallallaahu 'alaihi wasallam had his hands on his hands and paid his cupping. " (H.R. Bukhori &amp; Muslim).</w:t>
      </w:r>
      <w:r w:rsidRPr="00050436">
        <w:rPr>
          <w:rStyle w:val="FootnoteReference"/>
          <w:rFonts w:ascii="Garamond" w:hAnsi="Garamond" w:cs="Times New Roman"/>
          <w:i/>
          <w:iCs/>
          <w:sz w:val="24"/>
          <w:szCs w:val="24"/>
        </w:rPr>
        <w:footnoteReference w:id="21"/>
      </w:r>
    </w:p>
    <w:p w14:paraId="3BDD3B99" w14:textId="77777777" w:rsidR="00743404" w:rsidRPr="00A00C0F" w:rsidRDefault="00743404" w:rsidP="00E62A8A">
      <w:pPr>
        <w:spacing w:line="276" w:lineRule="auto"/>
        <w:jc w:val="both"/>
        <w:rPr>
          <w:rFonts w:ascii="Garamond" w:hAnsi="Garamond"/>
          <w:b/>
        </w:rPr>
      </w:pPr>
      <w:r w:rsidRPr="00B0180D">
        <w:rPr>
          <w:rFonts w:ascii="Garamond" w:hAnsi="Garamond"/>
          <w:b/>
        </w:rPr>
        <w:t>Pillars And Terms Of Wages</w:t>
      </w:r>
    </w:p>
    <w:p w14:paraId="31443F44" w14:textId="77777777" w:rsidR="00743404" w:rsidRPr="00050436" w:rsidRDefault="00743404" w:rsidP="00E62A8A">
      <w:pPr>
        <w:spacing w:line="276" w:lineRule="auto"/>
        <w:ind w:firstLine="720"/>
        <w:jc w:val="both"/>
        <w:rPr>
          <w:rFonts w:ascii="Garamond" w:hAnsi="Garamond"/>
        </w:rPr>
      </w:pPr>
      <w:r w:rsidRPr="00B0180D">
        <w:rPr>
          <w:rFonts w:ascii="Garamond" w:hAnsi="Garamond"/>
        </w:rPr>
        <w:t>Rukun are the elements that make up something, so that something is manifested because of the elements that make it up. For example a house, formed because of the elements that make it up, namely the foundation, pillars, floors, walls, roofs and so on. In the Islamic concept, the elements that make up something are called rukun.</w:t>
      </w:r>
      <w:r w:rsidRPr="00B0180D">
        <w:rPr>
          <w:rStyle w:val="FootnoteReference"/>
          <w:rFonts w:ascii="Garamond" w:hAnsi="Garamond"/>
        </w:rPr>
        <w:t xml:space="preserve"> </w:t>
      </w:r>
      <w:r w:rsidRPr="00050436">
        <w:rPr>
          <w:rStyle w:val="FootnoteReference"/>
          <w:rFonts w:ascii="Garamond" w:hAnsi="Garamond"/>
        </w:rPr>
        <w:footnoteReference w:id="22"/>
      </w:r>
      <w:r w:rsidRPr="00B0180D">
        <w:rPr>
          <w:rFonts w:ascii="Garamond" w:hAnsi="Garamond"/>
        </w:rPr>
        <w:t xml:space="preserve"> The pillars are:</w:t>
      </w:r>
    </w:p>
    <w:p w14:paraId="223BCFA6" w14:textId="77777777" w:rsidR="00743404" w:rsidRPr="00050436" w:rsidRDefault="00743404" w:rsidP="00E62A8A">
      <w:pPr>
        <w:pStyle w:val="ListParagraph"/>
        <w:numPr>
          <w:ilvl w:val="0"/>
          <w:numId w:val="17"/>
        </w:numPr>
        <w:spacing w:after="0"/>
        <w:jc w:val="both"/>
        <w:rPr>
          <w:rFonts w:ascii="Garamond" w:hAnsi="Garamond" w:cs="Times New Roman"/>
          <w:sz w:val="24"/>
          <w:szCs w:val="24"/>
        </w:rPr>
      </w:pPr>
      <w:r w:rsidRPr="00B0180D">
        <w:rPr>
          <w:rFonts w:ascii="Garamond" w:hAnsi="Garamond" w:cs="Times New Roman"/>
          <w:sz w:val="24"/>
          <w:szCs w:val="24"/>
        </w:rPr>
        <w:t>Mu'jir and musta'jir, namely the parties who carry out the ijarah contract</w:t>
      </w:r>
      <w:r w:rsidRPr="00050436">
        <w:rPr>
          <w:rFonts w:ascii="Garamond" w:hAnsi="Garamond" w:cs="Times New Roman"/>
          <w:sz w:val="24"/>
          <w:szCs w:val="24"/>
        </w:rPr>
        <w:t>.</w:t>
      </w:r>
      <w:r w:rsidRPr="00050436">
        <w:rPr>
          <w:rStyle w:val="FootnoteReference"/>
          <w:rFonts w:ascii="Garamond" w:hAnsi="Garamond" w:cs="Times New Roman"/>
          <w:sz w:val="24"/>
          <w:szCs w:val="24"/>
        </w:rPr>
        <w:footnoteReference w:id="23"/>
      </w:r>
    </w:p>
    <w:p w14:paraId="6B99D2C4" w14:textId="77777777" w:rsidR="00743404" w:rsidRPr="00050436" w:rsidRDefault="00743404" w:rsidP="00E62A8A">
      <w:pPr>
        <w:pStyle w:val="ListParagraph"/>
        <w:spacing w:after="0"/>
        <w:ind w:left="1080"/>
        <w:jc w:val="both"/>
        <w:rPr>
          <w:rFonts w:ascii="Garamond" w:hAnsi="Garamond" w:cs="Times New Roman"/>
          <w:sz w:val="24"/>
          <w:szCs w:val="24"/>
        </w:rPr>
      </w:pPr>
      <w:r w:rsidRPr="00B0180D">
        <w:rPr>
          <w:rFonts w:ascii="Garamond" w:hAnsi="Garamond" w:cs="Times New Roman"/>
          <w:sz w:val="24"/>
          <w:szCs w:val="24"/>
        </w:rPr>
        <w:t>Mu'jir are people who pay wages and who rent them out, musta'jir are people who receive wages for doing something.</w:t>
      </w:r>
      <w:r w:rsidRPr="00050436">
        <w:rPr>
          <w:rStyle w:val="FootnoteReference"/>
          <w:rFonts w:ascii="Garamond" w:hAnsi="Garamond" w:cs="Times New Roman"/>
          <w:sz w:val="24"/>
          <w:szCs w:val="24"/>
        </w:rPr>
        <w:footnoteReference w:id="24"/>
      </w:r>
    </w:p>
    <w:p w14:paraId="0737A3A4" w14:textId="77777777" w:rsidR="00743404" w:rsidRPr="00050436" w:rsidRDefault="00743404" w:rsidP="00E62A8A">
      <w:pPr>
        <w:pStyle w:val="ListParagraph"/>
        <w:numPr>
          <w:ilvl w:val="0"/>
          <w:numId w:val="17"/>
        </w:numPr>
        <w:spacing w:after="0"/>
        <w:jc w:val="both"/>
        <w:rPr>
          <w:rFonts w:ascii="Garamond" w:hAnsi="Garamond" w:cs="Times New Roman"/>
          <w:sz w:val="24"/>
          <w:szCs w:val="24"/>
        </w:rPr>
      </w:pPr>
      <w:r w:rsidRPr="005A1418">
        <w:rPr>
          <w:rFonts w:ascii="Garamond" w:hAnsi="Garamond" w:cs="Times New Roman"/>
          <w:sz w:val="24"/>
          <w:szCs w:val="24"/>
        </w:rPr>
        <w:t>Shighat (contract). The terms of the ijab qabul between ajir and musta'jir are the same as the ijab qabul made in buying and selling, it's just that the qabul consent in the ijarah must state the specified period or time.</w:t>
      </w:r>
      <w:r w:rsidRPr="00050436">
        <w:rPr>
          <w:rStyle w:val="FootnoteReference"/>
          <w:rFonts w:ascii="Garamond" w:hAnsi="Garamond" w:cs="Times New Roman"/>
          <w:sz w:val="24"/>
          <w:szCs w:val="24"/>
        </w:rPr>
        <w:footnoteReference w:id="25"/>
      </w:r>
    </w:p>
    <w:p w14:paraId="7C8D768F" w14:textId="77777777" w:rsidR="00743404" w:rsidRPr="00050436" w:rsidRDefault="00743404" w:rsidP="00E62A8A">
      <w:pPr>
        <w:pStyle w:val="ListParagraph"/>
        <w:numPr>
          <w:ilvl w:val="0"/>
          <w:numId w:val="17"/>
        </w:numPr>
        <w:spacing w:after="0"/>
        <w:jc w:val="both"/>
        <w:rPr>
          <w:rFonts w:ascii="Garamond" w:hAnsi="Garamond" w:cs="Times New Roman"/>
          <w:sz w:val="24"/>
          <w:szCs w:val="24"/>
        </w:rPr>
      </w:pPr>
      <w:r w:rsidRPr="005A1418">
        <w:rPr>
          <w:rFonts w:ascii="Garamond" w:hAnsi="Garamond" w:cs="Times New Roman"/>
          <w:sz w:val="24"/>
          <w:szCs w:val="24"/>
        </w:rPr>
        <w:t>Ujrah (wages). The basis used for wage determination is the amount of benefits provided by the worker (ajiir). Not based on standard of living, minimum physical needs or the price of goods produced. Wages received from haram services become haram rizki.</w:t>
      </w:r>
    </w:p>
    <w:p w14:paraId="5A0A3DB0" w14:textId="77777777" w:rsidR="00743404" w:rsidRPr="00050436" w:rsidRDefault="00743404" w:rsidP="00E62A8A">
      <w:pPr>
        <w:pStyle w:val="ListParagraph"/>
        <w:numPr>
          <w:ilvl w:val="0"/>
          <w:numId w:val="17"/>
        </w:numPr>
        <w:jc w:val="both"/>
        <w:rPr>
          <w:rFonts w:ascii="Garamond" w:hAnsi="Garamond" w:cs="Times New Roman"/>
          <w:sz w:val="24"/>
          <w:szCs w:val="24"/>
        </w:rPr>
      </w:pPr>
      <w:r w:rsidRPr="005A1418">
        <w:rPr>
          <w:rFonts w:ascii="Garamond" w:hAnsi="Garamond" w:cs="Times New Roman"/>
          <w:sz w:val="24"/>
          <w:szCs w:val="24"/>
        </w:rPr>
        <w:t xml:space="preserve">Ma'qud alaihi (goods that become objects). Something that is done in wage wages, is required for work done with several conditions. One of the most important requirements in this transaction is that the services provided are halal services. It is prohibited to provide illicit services such as expertise in making liquor or making alcohol </w:t>
      </w:r>
      <w:r w:rsidRPr="005A1418">
        <w:rPr>
          <w:rFonts w:ascii="Garamond" w:hAnsi="Garamond" w:cs="Times New Roman"/>
          <w:sz w:val="24"/>
          <w:szCs w:val="24"/>
        </w:rPr>
        <w:lastRenderedPageBreak/>
        <w:t>advertisements and so on. As long as the work done is allowed by Islam and the aqad or the transaction runs according to Islamic rules. If the work is haram, even if it is done by non-Muslims, it is still not allowed. The second requirement must be determined by the form of work, time, wages and energy. Therefore, the type of work must be explained. Because ujrah transactions are still opaque, the law is fasid.</w:t>
      </w:r>
      <w:r w:rsidRPr="00050436">
        <w:rPr>
          <w:rStyle w:val="FootnoteReference"/>
          <w:rFonts w:ascii="Garamond" w:hAnsi="Garamond" w:cs="Times New Roman"/>
          <w:sz w:val="24"/>
          <w:szCs w:val="24"/>
        </w:rPr>
        <w:footnoteReference w:id="26"/>
      </w:r>
    </w:p>
    <w:p w14:paraId="55ED7EF3" w14:textId="77777777" w:rsidR="00743404" w:rsidRPr="00050436" w:rsidRDefault="00743404" w:rsidP="00E62A8A">
      <w:pPr>
        <w:spacing w:line="276" w:lineRule="auto"/>
        <w:ind w:firstLine="720"/>
        <w:jc w:val="both"/>
        <w:rPr>
          <w:rFonts w:ascii="Garamond" w:hAnsi="Garamond"/>
        </w:rPr>
      </w:pPr>
      <w:r w:rsidRPr="005A1418">
        <w:rPr>
          <w:rFonts w:ascii="Garamond" w:hAnsi="Garamond"/>
        </w:rPr>
        <w:t>Apart from the pillars that must exist, the ujrah contract also provides the conditions that must be fulfilled in carrying out the contract according to shari'at or Islamic law. The conditions that must be met are as follows:</w:t>
      </w:r>
    </w:p>
    <w:p w14:paraId="132C0D57" w14:textId="77777777" w:rsidR="00743404" w:rsidRPr="00050436" w:rsidRDefault="00743404" w:rsidP="00E62A8A">
      <w:pPr>
        <w:pStyle w:val="Default"/>
        <w:numPr>
          <w:ilvl w:val="0"/>
          <w:numId w:val="18"/>
        </w:numPr>
        <w:spacing w:line="276" w:lineRule="auto"/>
        <w:ind w:left="1134" w:hanging="425"/>
        <w:jc w:val="both"/>
        <w:rPr>
          <w:rFonts w:cs="Times New Roman"/>
        </w:rPr>
      </w:pPr>
      <w:r w:rsidRPr="00271209">
        <w:rPr>
          <w:rFonts w:cs="Times New Roman"/>
        </w:rPr>
        <w:t>Wages must be made by means of open deliberation and consultation, so that each individual economic actor can manifest himself in a sense of high moral obligation and loyal dedication to the public interest.</w:t>
      </w:r>
      <w:r w:rsidRPr="00050436">
        <w:rPr>
          <w:rStyle w:val="FootnoteReference"/>
          <w:rFonts w:cs="Times New Roman"/>
        </w:rPr>
        <w:footnoteReference w:id="27"/>
      </w:r>
      <w:r w:rsidRPr="00050436">
        <w:rPr>
          <w:rFonts w:cs="Times New Roman"/>
        </w:rPr>
        <w:t xml:space="preserve"> </w:t>
      </w:r>
    </w:p>
    <w:p w14:paraId="1C088D03" w14:textId="77777777" w:rsidR="00743404" w:rsidRPr="00050436" w:rsidRDefault="00743404" w:rsidP="00E62A8A">
      <w:pPr>
        <w:pStyle w:val="Default"/>
        <w:numPr>
          <w:ilvl w:val="0"/>
          <w:numId w:val="18"/>
        </w:numPr>
        <w:spacing w:line="276" w:lineRule="auto"/>
        <w:ind w:left="1134" w:hanging="425"/>
        <w:jc w:val="both"/>
        <w:rPr>
          <w:rFonts w:cs="Times New Roman"/>
        </w:rPr>
      </w:pPr>
      <w:r w:rsidRPr="00271209">
        <w:rPr>
          <w:rFonts w:cs="Times New Roman"/>
        </w:rPr>
        <w:t>The wages must be in the form of mal mutaqawwim and the wages must be clearly stated.</w:t>
      </w:r>
      <w:r w:rsidRPr="00271209">
        <w:rPr>
          <w:rStyle w:val="FootnoteReference"/>
          <w:rFonts w:cs="Times New Roman"/>
        </w:rPr>
        <w:t xml:space="preserve"> </w:t>
      </w:r>
      <w:r w:rsidRPr="00050436">
        <w:rPr>
          <w:rStyle w:val="FootnoteReference"/>
          <w:rFonts w:cs="Times New Roman"/>
        </w:rPr>
        <w:footnoteReference w:id="28"/>
      </w:r>
      <w:r w:rsidRPr="00271209">
        <w:rPr>
          <w:rFonts w:cs="Times New Roman"/>
        </w:rPr>
        <w:t xml:space="preserve"> Concrete or by stating the criteria.</w:t>
      </w:r>
      <w:r w:rsidRPr="00050436">
        <w:rPr>
          <w:rFonts w:cs="Times New Roman"/>
        </w:rPr>
        <w:t xml:space="preserve"> </w:t>
      </w:r>
    </w:p>
    <w:p w14:paraId="0F166DBB" w14:textId="77777777" w:rsidR="00743404" w:rsidRPr="00050436" w:rsidRDefault="00743404" w:rsidP="00E62A8A">
      <w:pPr>
        <w:pStyle w:val="Default"/>
        <w:spacing w:line="276" w:lineRule="auto"/>
        <w:ind w:left="1134"/>
        <w:jc w:val="both"/>
        <w:rPr>
          <w:rFonts w:cs="Times New Roman"/>
        </w:rPr>
      </w:pPr>
      <w:r w:rsidRPr="009172DA">
        <w:rPr>
          <w:rFonts w:cs="Times New Roman"/>
        </w:rPr>
        <w:t>Since wages are payments for the value of benefits, this value is required to be clearly known.</w:t>
      </w:r>
      <w:r w:rsidRPr="00050436">
        <w:rPr>
          <w:rStyle w:val="FootnoteReference"/>
          <w:rFonts w:cs="Times New Roman"/>
        </w:rPr>
        <w:footnoteReference w:id="29"/>
      </w:r>
      <w:r w:rsidRPr="00050436">
        <w:rPr>
          <w:rFonts w:cs="Times New Roman"/>
        </w:rPr>
        <w:t xml:space="preserve"> </w:t>
      </w:r>
      <w:r w:rsidRPr="009172DA">
        <w:rPr>
          <w:rFonts w:cs="Times New Roman"/>
        </w:rPr>
        <w:t>Employing people with food wages is an example of unclear wages because it contains elements of jihalah (uncertainty). Ijarah like this according to jumhur fuqaha ', apart from malikiyah is not valid. Fuqaha malikiyah establishes the validity of the ijarah as long as the wage measures are intended and can be known based on custom.</w:t>
      </w:r>
      <w:r w:rsidRPr="00050436">
        <w:rPr>
          <w:rFonts w:cs="Times New Roman"/>
        </w:rPr>
        <w:t xml:space="preserve">  </w:t>
      </w:r>
    </w:p>
    <w:p w14:paraId="6A7C56E7" w14:textId="77777777" w:rsidR="00743404" w:rsidRPr="009172DA" w:rsidRDefault="00743404" w:rsidP="00E62A8A">
      <w:pPr>
        <w:pStyle w:val="Default"/>
        <w:numPr>
          <w:ilvl w:val="0"/>
          <w:numId w:val="18"/>
        </w:numPr>
        <w:spacing w:line="276" w:lineRule="auto"/>
        <w:ind w:left="1134"/>
        <w:jc w:val="both"/>
        <w:rPr>
          <w:rFonts w:cs="Times New Roman"/>
        </w:rPr>
      </w:pPr>
      <w:r w:rsidRPr="009172DA">
        <w:rPr>
          <w:rFonts w:cs="Times New Roman"/>
        </w:rPr>
        <w:t>Wages must be different from the type of object. Paying a job with similar work is an example that does not meet this requirement. Therefore the law is invalid, because it can lead to the practice of usury. For example: hiring coolies to build houses and wages in the form of building materials or houses.</w:t>
      </w:r>
    </w:p>
    <w:p w14:paraId="3F1ED00F" w14:textId="77777777" w:rsidR="00743404" w:rsidRPr="00050436" w:rsidRDefault="00743404" w:rsidP="00E62A8A">
      <w:pPr>
        <w:pStyle w:val="Default"/>
        <w:numPr>
          <w:ilvl w:val="0"/>
          <w:numId w:val="18"/>
        </w:numPr>
        <w:spacing w:line="276" w:lineRule="auto"/>
        <w:ind w:left="1134"/>
        <w:jc w:val="both"/>
        <w:rPr>
          <w:rFonts w:cs="Times New Roman"/>
        </w:rPr>
      </w:pPr>
      <w:r w:rsidRPr="009172DA">
        <w:rPr>
          <w:rFonts w:cs="Times New Roman"/>
        </w:rPr>
        <w:lastRenderedPageBreak/>
        <w:t>The wages for the rental agreement should not be in the form of benefits from the type of something that is made the agreement. And it is not legal to help someone with the wages of helping someone else. The problem is invalid because of the similarity of benefits. Then each of them is obliged to pay appropriate wages or fees after using the person's power</w:t>
      </w:r>
      <w:r w:rsidRPr="00050436">
        <w:rPr>
          <w:rFonts w:cs="Times New Roman"/>
        </w:rPr>
        <w:t>.</w:t>
      </w:r>
      <w:r w:rsidRPr="00050436">
        <w:rPr>
          <w:rStyle w:val="FootnoteReference"/>
          <w:rFonts w:cs="Times New Roman"/>
        </w:rPr>
        <w:footnoteReference w:id="30"/>
      </w:r>
    </w:p>
    <w:p w14:paraId="1C2097C2" w14:textId="77777777" w:rsidR="00743404" w:rsidRPr="009172DA" w:rsidRDefault="00743404" w:rsidP="00E62A8A">
      <w:pPr>
        <w:pStyle w:val="Default"/>
        <w:numPr>
          <w:ilvl w:val="0"/>
          <w:numId w:val="18"/>
        </w:numPr>
        <w:spacing w:after="240" w:line="276" w:lineRule="auto"/>
        <w:ind w:left="1134" w:hanging="425"/>
        <w:jc w:val="both"/>
        <w:rPr>
          <w:rFonts w:cs="Times New Roman"/>
        </w:rPr>
      </w:pPr>
      <w:r w:rsidRPr="009172DA">
        <w:rPr>
          <w:rFonts w:cs="Times New Roman"/>
        </w:rPr>
        <w:t>In the form of fixed assets that can be known</w:t>
      </w:r>
      <w:r w:rsidRPr="00050436">
        <w:rPr>
          <w:rFonts w:cs="Times New Roman"/>
        </w:rPr>
        <w:t>.</w:t>
      </w:r>
      <w:r w:rsidRPr="00050436">
        <w:rPr>
          <w:rStyle w:val="FootnoteReference"/>
          <w:rFonts w:cs="Times New Roman"/>
        </w:rPr>
        <w:footnoteReference w:id="31"/>
      </w:r>
      <w:r>
        <w:rPr>
          <w:rFonts w:cs="Times New Roman"/>
        </w:rPr>
        <w:t xml:space="preserve"> </w:t>
      </w:r>
      <w:r w:rsidRPr="009172DA">
        <w:rPr>
          <w:rFonts w:cs="Times New Roman"/>
        </w:rPr>
        <w:t>If the benefits are not clear and cause disputes, then the contract is invalid because unclearness prevents delivery and acceptance so that the purpose of the contract cannot be achieved. Clarity of the object of the contract (benefit) is manifested with an explanation, place of benefits, time period, and explanation, the object of work in hiring workers.</w:t>
      </w:r>
    </w:p>
    <w:p w14:paraId="296AABD2" w14:textId="77777777" w:rsidR="00743404" w:rsidRPr="00A00C0F" w:rsidRDefault="00743404" w:rsidP="00E62A8A">
      <w:pPr>
        <w:spacing w:line="276" w:lineRule="auto"/>
        <w:jc w:val="both"/>
        <w:rPr>
          <w:rFonts w:ascii="Garamond" w:hAnsi="Garamond"/>
          <w:b/>
        </w:rPr>
      </w:pPr>
      <w:r w:rsidRPr="009172DA">
        <w:rPr>
          <w:rFonts w:ascii="Garamond" w:hAnsi="Garamond"/>
          <w:b/>
        </w:rPr>
        <w:t>Labor and Employer Relations</w:t>
      </w:r>
    </w:p>
    <w:p w14:paraId="7C4E4F8F" w14:textId="77777777" w:rsidR="00743404" w:rsidRPr="00050436" w:rsidRDefault="00743404" w:rsidP="00E62A8A">
      <w:pPr>
        <w:spacing w:line="276" w:lineRule="auto"/>
        <w:jc w:val="both"/>
        <w:rPr>
          <w:rFonts w:ascii="Garamond" w:hAnsi="Garamond"/>
        </w:rPr>
      </w:pPr>
      <w:r w:rsidRPr="00050436">
        <w:rPr>
          <w:rFonts w:ascii="Garamond" w:hAnsi="Garamond"/>
        </w:rPr>
        <w:t xml:space="preserve">     </w:t>
      </w:r>
      <w:r w:rsidRPr="00050436">
        <w:rPr>
          <w:rFonts w:ascii="Garamond" w:hAnsi="Garamond"/>
        </w:rPr>
        <w:tab/>
      </w:r>
      <w:r w:rsidRPr="0062385F">
        <w:rPr>
          <w:rFonts w:ascii="Garamond" w:hAnsi="Garamond"/>
        </w:rPr>
        <w:t>The labor relationship with the employer is a form of muamalah relationship which is regulated in Islamic sharia. In this case, both a worker and an employer need to prioritize the noble values of Islam in muamalah, including the values of monotheism, piety, fairness, honesty and trust. This noble value can be described as follows:</w:t>
      </w:r>
      <w:r w:rsidRPr="00050436">
        <w:rPr>
          <w:rStyle w:val="FootnoteReference"/>
          <w:rFonts w:ascii="Garamond" w:hAnsi="Garamond"/>
          <w:b/>
        </w:rPr>
        <w:footnoteReference w:id="32"/>
      </w:r>
    </w:p>
    <w:p w14:paraId="634F0A99" w14:textId="77777777" w:rsidR="00743404" w:rsidRPr="0062385F" w:rsidRDefault="00743404" w:rsidP="00E62A8A">
      <w:pPr>
        <w:pStyle w:val="ListParagraph"/>
        <w:numPr>
          <w:ilvl w:val="0"/>
          <w:numId w:val="19"/>
        </w:numPr>
        <w:jc w:val="both"/>
        <w:rPr>
          <w:rFonts w:ascii="Garamond" w:hAnsi="Garamond" w:cs="Times New Roman"/>
          <w:sz w:val="24"/>
          <w:szCs w:val="24"/>
        </w:rPr>
      </w:pPr>
      <w:r w:rsidRPr="0062385F">
        <w:rPr>
          <w:rFonts w:ascii="Garamond" w:hAnsi="Garamond" w:cs="Times New Roman"/>
          <w:sz w:val="24"/>
          <w:szCs w:val="24"/>
        </w:rPr>
        <w:t>Tawheed means to affirm Allah. Both workers and employers must both believe in Allah SWT, empower Allah SWT, so that in carrying out their work / business all of them have the intention of seeking the pleasure of Allah alone.</w:t>
      </w:r>
    </w:p>
    <w:p w14:paraId="6A566DEA" w14:textId="77777777" w:rsidR="00743404" w:rsidRPr="0062385F" w:rsidRDefault="00743404" w:rsidP="00E62A8A">
      <w:pPr>
        <w:pStyle w:val="ListParagraph"/>
        <w:numPr>
          <w:ilvl w:val="0"/>
          <w:numId w:val="19"/>
        </w:numPr>
        <w:jc w:val="both"/>
        <w:rPr>
          <w:rFonts w:ascii="Garamond" w:hAnsi="Garamond" w:cs="Times New Roman"/>
          <w:sz w:val="24"/>
          <w:szCs w:val="24"/>
        </w:rPr>
      </w:pPr>
      <w:r w:rsidRPr="0062385F">
        <w:rPr>
          <w:rFonts w:ascii="Garamond" w:hAnsi="Garamond" w:cs="Times New Roman"/>
          <w:sz w:val="24"/>
          <w:szCs w:val="24"/>
        </w:rPr>
        <w:t xml:space="preserve"> Workers and employers carry out a work relationship based on devotion to Allah SWT, and will not do work that is prohibited by syara '.</w:t>
      </w:r>
    </w:p>
    <w:p w14:paraId="10C39E26" w14:textId="77777777" w:rsidR="00743404" w:rsidRPr="0062385F" w:rsidRDefault="00743404" w:rsidP="00E62A8A">
      <w:pPr>
        <w:pStyle w:val="ListParagraph"/>
        <w:numPr>
          <w:ilvl w:val="0"/>
          <w:numId w:val="19"/>
        </w:numPr>
        <w:jc w:val="both"/>
        <w:rPr>
          <w:rFonts w:ascii="Garamond" w:hAnsi="Garamond" w:cs="Times New Roman"/>
          <w:sz w:val="24"/>
          <w:szCs w:val="24"/>
        </w:rPr>
      </w:pPr>
      <w:r w:rsidRPr="0062385F">
        <w:rPr>
          <w:rFonts w:ascii="Garamond" w:hAnsi="Garamond" w:cs="Times New Roman"/>
          <w:sz w:val="24"/>
          <w:szCs w:val="24"/>
        </w:rPr>
        <w:t>Workers and employers carry out a fair working relationship by prioritizing the obligation to obtain their respective rights.</w:t>
      </w:r>
    </w:p>
    <w:p w14:paraId="3B96E01C" w14:textId="77777777" w:rsidR="00743404" w:rsidRPr="0062385F" w:rsidRDefault="00743404" w:rsidP="00E62A8A">
      <w:pPr>
        <w:pStyle w:val="ListParagraph"/>
        <w:numPr>
          <w:ilvl w:val="0"/>
          <w:numId w:val="19"/>
        </w:numPr>
        <w:jc w:val="both"/>
        <w:rPr>
          <w:rFonts w:ascii="Garamond" w:hAnsi="Garamond" w:cs="Times New Roman"/>
          <w:sz w:val="24"/>
          <w:szCs w:val="24"/>
        </w:rPr>
      </w:pPr>
      <w:r w:rsidRPr="0062385F">
        <w:rPr>
          <w:rFonts w:ascii="Garamond" w:hAnsi="Garamond" w:cs="Times New Roman"/>
          <w:sz w:val="24"/>
          <w:szCs w:val="24"/>
        </w:rPr>
        <w:t>Workers and employers have an open employment relationship from the start of signing a work contract / agreement to the work implementation process, respectively being honest and open.</w:t>
      </w:r>
    </w:p>
    <w:p w14:paraId="262076E1" w14:textId="77777777" w:rsidR="00743404" w:rsidRPr="00A00C0F" w:rsidRDefault="00743404" w:rsidP="00E62A8A">
      <w:pPr>
        <w:pStyle w:val="ListParagraph"/>
        <w:numPr>
          <w:ilvl w:val="0"/>
          <w:numId w:val="19"/>
        </w:numPr>
        <w:jc w:val="both"/>
        <w:rPr>
          <w:rFonts w:ascii="Garamond" w:hAnsi="Garamond" w:cs="Times New Roman"/>
          <w:sz w:val="24"/>
          <w:szCs w:val="24"/>
        </w:rPr>
      </w:pPr>
      <w:r w:rsidRPr="0062385F">
        <w:rPr>
          <w:rFonts w:ascii="Garamond" w:hAnsi="Garamond" w:cs="Times New Roman"/>
          <w:sz w:val="24"/>
          <w:szCs w:val="24"/>
        </w:rPr>
        <w:lastRenderedPageBreak/>
        <w:t>Both of them hold the mandate, do work / business as a form of fulfilling the mandate of Allah Almighty and each of them fulfills the agreed mandate or responsibility.</w:t>
      </w:r>
    </w:p>
    <w:p w14:paraId="467D4E02" w14:textId="77777777" w:rsidR="00743404" w:rsidRPr="00A00C0F" w:rsidRDefault="00743404" w:rsidP="00E62A8A">
      <w:pPr>
        <w:spacing w:line="276" w:lineRule="auto"/>
        <w:jc w:val="both"/>
        <w:rPr>
          <w:rFonts w:ascii="Garamond" w:hAnsi="Garamond"/>
          <w:b/>
        </w:rPr>
      </w:pPr>
      <w:r w:rsidRPr="0062385F">
        <w:rPr>
          <w:rFonts w:ascii="Garamond" w:hAnsi="Garamond"/>
          <w:b/>
        </w:rPr>
        <w:t>Types of Wages (Ujrah)</w:t>
      </w:r>
    </w:p>
    <w:p w14:paraId="50268C60" w14:textId="77777777" w:rsidR="00743404" w:rsidRPr="00050436" w:rsidRDefault="00743404" w:rsidP="00E62A8A">
      <w:pPr>
        <w:pStyle w:val="ListParagraph"/>
        <w:ind w:left="426"/>
        <w:jc w:val="both"/>
        <w:rPr>
          <w:rFonts w:ascii="Garamond" w:hAnsi="Garamond" w:cs="Times New Roman"/>
          <w:sz w:val="24"/>
          <w:szCs w:val="24"/>
        </w:rPr>
      </w:pPr>
      <w:r w:rsidRPr="0062385F">
        <w:rPr>
          <w:rFonts w:ascii="Garamond" w:hAnsi="Garamond" w:cs="Times New Roman"/>
          <w:sz w:val="24"/>
          <w:szCs w:val="24"/>
        </w:rPr>
        <w:t>Wages are classified into two types, namely:</w:t>
      </w:r>
      <w:r w:rsidRPr="00050436">
        <w:rPr>
          <w:rFonts w:ascii="Garamond" w:hAnsi="Garamond" w:cs="Times New Roman"/>
          <w:sz w:val="24"/>
          <w:szCs w:val="24"/>
        </w:rPr>
        <w:t xml:space="preserve">  </w:t>
      </w:r>
      <w:r>
        <w:rPr>
          <w:rStyle w:val="FootnoteReference"/>
          <w:rFonts w:ascii="Garamond" w:hAnsi="Garamond" w:cs="Times New Roman"/>
          <w:sz w:val="24"/>
          <w:szCs w:val="24"/>
        </w:rPr>
        <w:footnoteReference w:id="33"/>
      </w:r>
    </w:p>
    <w:p w14:paraId="71E41D0F" w14:textId="77777777" w:rsidR="00743404" w:rsidRPr="0062385F" w:rsidRDefault="00743404" w:rsidP="00E62A8A">
      <w:pPr>
        <w:pStyle w:val="ListParagraph"/>
        <w:numPr>
          <w:ilvl w:val="0"/>
          <w:numId w:val="24"/>
        </w:numPr>
        <w:jc w:val="both"/>
        <w:rPr>
          <w:rFonts w:ascii="Garamond" w:hAnsi="Garamond" w:cs="Times New Roman"/>
          <w:sz w:val="24"/>
          <w:szCs w:val="24"/>
        </w:rPr>
      </w:pPr>
      <w:r w:rsidRPr="0062385F">
        <w:rPr>
          <w:rFonts w:ascii="Garamond" w:hAnsi="Garamond" w:cs="Times New Roman"/>
          <w:sz w:val="24"/>
          <w:szCs w:val="24"/>
        </w:rPr>
        <w:t>Commensurate wages (ujrah al-misli)</w:t>
      </w:r>
    </w:p>
    <w:p w14:paraId="573BAEA6" w14:textId="77777777" w:rsidR="00743404" w:rsidRDefault="00743404" w:rsidP="00E62A8A">
      <w:pPr>
        <w:pStyle w:val="ListParagraph"/>
        <w:ind w:left="786"/>
        <w:jc w:val="both"/>
        <w:rPr>
          <w:rFonts w:ascii="Garamond" w:hAnsi="Garamond" w:cs="Times New Roman"/>
          <w:sz w:val="24"/>
          <w:szCs w:val="24"/>
        </w:rPr>
      </w:pPr>
      <w:r w:rsidRPr="0062385F">
        <w:rPr>
          <w:rFonts w:ascii="Garamond" w:hAnsi="Garamond" w:cs="Times New Roman"/>
          <w:sz w:val="24"/>
          <w:szCs w:val="24"/>
        </w:rPr>
        <w:t xml:space="preserve">Ujrah al-misli is a wage that is commensurate with his work and commensurate with the type of work, in accordance with the amount of value stated and agreed upon by both parties, namely the employer and the work recipient (worker) at the time of the purchase of services, therefore to determine the wage rate for both parties who carry out the service buyer transaction, but have not yet determined the agreed wage, they must determine a fair wage in accordance with their work or wages that normally apply and are commensurate with the level of the type of work. The purpose of determining an equal wage rate is to safeguard the interests of both parties, both the service seller and the service buyer, and to avoid an element of exploitation in every transaction thus, through an equivalent wage rate, any disputes that occur in the sale and purchase of services. </w:t>
      </w:r>
      <w:proofErr w:type="gramStart"/>
      <w:r w:rsidRPr="0062385F">
        <w:rPr>
          <w:rFonts w:ascii="Garamond" w:hAnsi="Garamond" w:cs="Times New Roman"/>
          <w:sz w:val="24"/>
          <w:szCs w:val="24"/>
        </w:rPr>
        <w:t>will</w:t>
      </w:r>
      <w:proofErr w:type="gramEnd"/>
      <w:r w:rsidRPr="0062385F">
        <w:rPr>
          <w:rFonts w:ascii="Garamond" w:hAnsi="Garamond" w:cs="Times New Roman"/>
          <w:sz w:val="24"/>
          <w:szCs w:val="24"/>
        </w:rPr>
        <w:t xml:space="preserve"> be resolved fairly.</w:t>
      </w:r>
      <w:r w:rsidRPr="00050436">
        <w:rPr>
          <w:rStyle w:val="FootnoteReference"/>
          <w:rFonts w:ascii="Garamond" w:hAnsi="Garamond" w:cs="Times New Roman"/>
          <w:sz w:val="24"/>
          <w:szCs w:val="24"/>
        </w:rPr>
        <w:footnoteReference w:id="34"/>
      </w:r>
    </w:p>
    <w:p w14:paraId="27A80D38" w14:textId="77777777" w:rsidR="00743404" w:rsidRPr="0062385F" w:rsidRDefault="00743404" w:rsidP="00E62A8A">
      <w:pPr>
        <w:pStyle w:val="ListParagraph"/>
        <w:numPr>
          <w:ilvl w:val="0"/>
          <w:numId w:val="24"/>
        </w:numPr>
        <w:jc w:val="both"/>
        <w:rPr>
          <w:rFonts w:ascii="Garamond" w:hAnsi="Garamond" w:cs="Times New Roman"/>
          <w:sz w:val="24"/>
          <w:szCs w:val="24"/>
        </w:rPr>
      </w:pPr>
      <w:r w:rsidRPr="0062385F">
        <w:rPr>
          <w:rFonts w:ascii="Garamond" w:hAnsi="Garamond" w:cs="Times New Roman"/>
          <w:sz w:val="24"/>
          <w:szCs w:val="24"/>
        </w:rPr>
        <w:t xml:space="preserve">The wages that have been mentioned (ujrah al-musamma) </w:t>
      </w:r>
    </w:p>
    <w:p w14:paraId="750FDAEF" w14:textId="77777777" w:rsidR="00743404" w:rsidRPr="0062385F" w:rsidRDefault="00743404" w:rsidP="00E62A8A">
      <w:pPr>
        <w:pStyle w:val="ListParagraph"/>
        <w:ind w:left="786" w:firstLine="490"/>
        <w:jc w:val="both"/>
        <w:rPr>
          <w:rFonts w:ascii="Garamond" w:hAnsi="Garamond" w:cs="Times New Roman"/>
          <w:sz w:val="24"/>
          <w:szCs w:val="24"/>
        </w:rPr>
      </w:pPr>
      <w:r w:rsidRPr="0062385F">
        <w:rPr>
          <w:rFonts w:ascii="Garamond" w:hAnsi="Garamond" w:cs="Times New Roman"/>
          <w:sz w:val="24"/>
          <w:szCs w:val="24"/>
        </w:rPr>
        <w:t>The wage which is called (ujrah al-musamma) is the condition when it is mentioned that it must be accompanied by the willingness (received) of both parties who are making transactions towards the wage. Thus, the musta'jir party should not be forced to pay more than what has been stated, just as the ajir party should not be forced to get less than what has been stated, but this wage is a wage that is obliged to follow the provisions of the syara '.</w:t>
      </w:r>
    </w:p>
    <w:p w14:paraId="7C4EE880" w14:textId="77777777" w:rsidR="00743404" w:rsidRPr="00A00C0F" w:rsidRDefault="00743404" w:rsidP="00E62A8A">
      <w:pPr>
        <w:pStyle w:val="ListParagraph"/>
        <w:ind w:left="786" w:firstLine="490"/>
        <w:jc w:val="both"/>
        <w:rPr>
          <w:rFonts w:ascii="Garamond" w:hAnsi="Garamond" w:cs="Times New Roman"/>
          <w:sz w:val="24"/>
          <w:szCs w:val="24"/>
        </w:rPr>
      </w:pPr>
      <w:r w:rsidRPr="0062385F">
        <w:rPr>
          <w:rFonts w:ascii="Garamond" w:hAnsi="Garamond" w:cs="Times New Roman"/>
          <w:sz w:val="24"/>
          <w:szCs w:val="24"/>
        </w:rPr>
        <w:t xml:space="preserve">If the wages are stated at the time of the transaction, then the wages at that time are the wages mentioned (ajrun musamma). If it has not been mentioned, or there is a dispute over the wages that have been </w:t>
      </w:r>
      <w:r w:rsidRPr="0062385F">
        <w:rPr>
          <w:rFonts w:ascii="Garamond" w:hAnsi="Garamond" w:cs="Times New Roman"/>
          <w:sz w:val="24"/>
          <w:szCs w:val="24"/>
        </w:rPr>
        <w:lastRenderedPageBreak/>
        <w:t>mentioned, then the wages can be applied in proportion to the wages (ajrul misli).</w:t>
      </w:r>
      <w:r w:rsidRPr="00050436">
        <w:rPr>
          <w:rStyle w:val="FootnoteReference"/>
          <w:rFonts w:ascii="Garamond" w:hAnsi="Garamond" w:cs="Times New Roman"/>
          <w:sz w:val="24"/>
          <w:szCs w:val="24"/>
        </w:rPr>
        <w:footnoteReference w:id="35"/>
      </w:r>
    </w:p>
    <w:p w14:paraId="7A3A6311" w14:textId="77777777" w:rsidR="00743404" w:rsidRPr="00A00C0F" w:rsidRDefault="00743404" w:rsidP="00E62A8A">
      <w:pPr>
        <w:spacing w:line="276" w:lineRule="auto"/>
        <w:jc w:val="both"/>
        <w:rPr>
          <w:rFonts w:ascii="Garamond" w:hAnsi="Garamond"/>
          <w:b/>
        </w:rPr>
      </w:pPr>
      <w:r w:rsidRPr="0062385F">
        <w:rPr>
          <w:rFonts w:ascii="Garamond" w:hAnsi="Garamond"/>
          <w:b/>
        </w:rPr>
        <w:t>Government Authority in Wages of Workers</w:t>
      </w:r>
    </w:p>
    <w:p w14:paraId="2CF78B06" w14:textId="77777777" w:rsidR="00743404" w:rsidRPr="00050436" w:rsidRDefault="00743404" w:rsidP="00E62A8A">
      <w:pPr>
        <w:spacing w:line="276" w:lineRule="auto"/>
        <w:ind w:firstLine="720"/>
        <w:jc w:val="both"/>
        <w:rPr>
          <w:rFonts w:ascii="Garamond" w:hAnsi="Garamond"/>
        </w:rPr>
      </w:pPr>
      <w:r w:rsidRPr="0062385F">
        <w:rPr>
          <w:rFonts w:ascii="Garamond" w:hAnsi="Garamond"/>
        </w:rPr>
        <w:t>Wages are direct financial rewards that are paid to employees based on working hours, the number of goods produced or the large number of services provided. So, unlike salaries which are relatively fixed, the amount of wages can fluctuate. The concept of wages is usually associated with the payment process for casual workers.</w:t>
      </w:r>
      <w:r w:rsidRPr="00050436">
        <w:rPr>
          <w:rStyle w:val="FootnoteReference"/>
          <w:rFonts w:ascii="Garamond" w:hAnsi="Garamond"/>
        </w:rPr>
        <w:footnoteReference w:id="36"/>
      </w:r>
      <w:r w:rsidRPr="00050436">
        <w:rPr>
          <w:rFonts w:ascii="Garamond" w:hAnsi="Garamond"/>
        </w:rPr>
        <w:t xml:space="preserve"> </w:t>
      </w:r>
      <w:r w:rsidRPr="0062385F">
        <w:rPr>
          <w:rFonts w:ascii="Garamond" w:hAnsi="Garamond"/>
        </w:rPr>
        <w:t>The role of the government in authorizing the wages of workers by setting minimum wages.</w:t>
      </w:r>
      <w:r>
        <w:rPr>
          <w:rStyle w:val="FootnoteReference"/>
          <w:rFonts w:ascii="Garamond" w:hAnsi="Garamond"/>
        </w:rPr>
        <w:footnoteReference w:id="37"/>
      </w:r>
      <w:r w:rsidRPr="00050436">
        <w:rPr>
          <w:rFonts w:ascii="Garamond" w:hAnsi="Garamond"/>
        </w:rPr>
        <w:t xml:space="preserve">  </w:t>
      </w:r>
      <w:r w:rsidRPr="00740E44">
        <w:rPr>
          <w:rFonts w:ascii="Garamond" w:hAnsi="Garamond"/>
        </w:rPr>
        <w:t>Several basic considerations for the determination of the minimum wage, namely:</w:t>
      </w:r>
    </w:p>
    <w:p w14:paraId="2F9D24CC" w14:textId="77777777" w:rsidR="00743404" w:rsidRPr="00740E44" w:rsidRDefault="00743404" w:rsidP="00E62A8A">
      <w:pPr>
        <w:pStyle w:val="ListParagraph"/>
        <w:numPr>
          <w:ilvl w:val="0"/>
          <w:numId w:val="20"/>
        </w:numPr>
        <w:jc w:val="both"/>
        <w:rPr>
          <w:rFonts w:ascii="Garamond" w:hAnsi="Garamond" w:cs="Times New Roman"/>
          <w:sz w:val="24"/>
          <w:szCs w:val="24"/>
        </w:rPr>
      </w:pPr>
      <w:r w:rsidRPr="00740E44">
        <w:rPr>
          <w:rFonts w:ascii="Garamond" w:hAnsi="Garamond" w:cs="Times New Roman"/>
          <w:sz w:val="24"/>
          <w:szCs w:val="24"/>
        </w:rPr>
        <w:t>As a safety net so that the value of wages does not drop below the minimum necessity of life.</w:t>
      </w:r>
      <w:r>
        <w:rPr>
          <w:rStyle w:val="FootnoteReference"/>
          <w:rFonts w:ascii="Garamond" w:hAnsi="Garamond" w:cs="Times New Roman"/>
          <w:sz w:val="24"/>
          <w:szCs w:val="24"/>
        </w:rPr>
        <w:footnoteReference w:id="38"/>
      </w:r>
    </w:p>
    <w:p w14:paraId="3A9961C1" w14:textId="77777777" w:rsidR="00743404" w:rsidRPr="00740E44" w:rsidRDefault="00743404" w:rsidP="00E62A8A">
      <w:pPr>
        <w:pStyle w:val="ListParagraph"/>
        <w:numPr>
          <w:ilvl w:val="0"/>
          <w:numId w:val="20"/>
        </w:numPr>
        <w:jc w:val="both"/>
        <w:rPr>
          <w:rFonts w:ascii="Garamond" w:hAnsi="Garamond" w:cs="Times New Roman"/>
          <w:sz w:val="24"/>
          <w:szCs w:val="24"/>
        </w:rPr>
      </w:pPr>
      <w:r w:rsidRPr="00740E44">
        <w:rPr>
          <w:rFonts w:ascii="Garamond" w:hAnsi="Garamond" w:cs="Times New Roman"/>
          <w:sz w:val="24"/>
          <w:szCs w:val="24"/>
        </w:rPr>
        <w:t>As a manifestation of the real implementation of Pancasila, UUD 45 and GBHN.</w:t>
      </w:r>
    </w:p>
    <w:p w14:paraId="2947F312" w14:textId="77777777" w:rsidR="00743404" w:rsidRPr="00740E44" w:rsidRDefault="00743404" w:rsidP="00E62A8A">
      <w:pPr>
        <w:pStyle w:val="ListParagraph"/>
        <w:numPr>
          <w:ilvl w:val="0"/>
          <w:numId w:val="20"/>
        </w:numPr>
        <w:jc w:val="both"/>
        <w:rPr>
          <w:rFonts w:ascii="Garamond" w:hAnsi="Garamond" w:cs="Times New Roman"/>
          <w:sz w:val="24"/>
          <w:szCs w:val="24"/>
        </w:rPr>
      </w:pPr>
      <w:r w:rsidRPr="00740E44">
        <w:rPr>
          <w:rFonts w:ascii="Garamond" w:hAnsi="Garamond" w:cs="Times New Roman"/>
          <w:sz w:val="24"/>
          <w:szCs w:val="24"/>
        </w:rPr>
        <w:t>So that the results of development are not only enjoyed by a small proportion of people who have the opportunity, but need to reach the majority of low-income people and their families.</w:t>
      </w:r>
    </w:p>
    <w:p w14:paraId="4844B7BB" w14:textId="77777777" w:rsidR="00743404" w:rsidRPr="00740E44" w:rsidRDefault="00743404" w:rsidP="00E62A8A">
      <w:pPr>
        <w:pStyle w:val="ListParagraph"/>
        <w:numPr>
          <w:ilvl w:val="0"/>
          <w:numId w:val="20"/>
        </w:numPr>
        <w:jc w:val="both"/>
        <w:rPr>
          <w:rFonts w:ascii="Garamond" w:hAnsi="Garamond" w:cs="Times New Roman"/>
          <w:sz w:val="24"/>
          <w:szCs w:val="24"/>
        </w:rPr>
      </w:pPr>
      <w:r w:rsidRPr="00740E44">
        <w:rPr>
          <w:rFonts w:ascii="Garamond" w:hAnsi="Garamond" w:cs="Times New Roman"/>
          <w:sz w:val="24"/>
          <w:szCs w:val="24"/>
        </w:rPr>
        <w:t>As an effort to equalize income and develop the middle class</w:t>
      </w:r>
    </w:p>
    <w:p w14:paraId="0F4951A2" w14:textId="77777777" w:rsidR="00743404" w:rsidRPr="00740E44" w:rsidRDefault="00743404" w:rsidP="00E62A8A">
      <w:pPr>
        <w:pStyle w:val="ListParagraph"/>
        <w:numPr>
          <w:ilvl w:val="0"/>
          <w:numId w:val="20"/>
        </w:numPr>
        <w:jc w:val="both"/>
        <w:rPr>
          <w:rFonts w:ascii="Garamond" w:hAnsi="Garamond" w:cs="Times New Roman"/>
          <w:sz w:val="24"/>
          <w:szCs w:val="24"/>
        </w:rPr>
      </w:pPr>
      <w:r w:rsidRPr="00740E44">
        <w:rPr>
          <w:rFonts w:ascii="Garamond" w:hAnsi="Garamond" w:cs="Times New Roman"/>
          <w:sz w:val="24"/>
          <w:szCs w:val="24"/>
        </w:rPr>
        <w:t>Legal certainty for the protection of basic rights of workers and their families as Indonesian citizens.</w:t>
      </w:r>
    </w:p>
    <w:p w14:paraId="0ACD7F62" w14:textId="77777777" w:rsidR="00743404" w:rsidRPr="00050436" w:rsidRDefault="00743404" w:rsidP="00E62A8A">
      <w:pPr>
        <w:pStyle w:val="ListParagraph"/>
        <w:numPr>
          <w:ilvl w:val="0"/>
          <w:numId w:val="20"/>
        </w:numPr>
        <w:jc w:val="both"/>
        <w:rPr>
          <w:rFonts w:ascii="Garamond" w:hAnsi="Garamond" w:cs="Times New Roman"/>
          <w:sz w:val="24"/>
          <w:szCs w:val="24"/>
        </w:rPr>
      </w:pPr>
      <w:r w:rsidRPr="00740E44">
        <w:rPr>
          <w:rFonts w:ascii="Garamond" w:hAnsi="Garamond" w:cs="Times New Roman"/>
          <w:sz w:val="24"/>
          <w:szCs w:val="24"/>
        </w:rPr>
        <w:t xml:space="preserve">Is an indicator of economic development per capita </w:t>
      </w:r>
      <w:proofErr w:type="gramStart"/>
      <w:r w:rsidRPr="00740E44">
        <w:rPr>
          <w:rFonts w:ascii="Garamond" w:hAnsi="Garamond" w:cs="Times New Roman"/>
          <w:sz w:val="24"/>
          <w:szCs w:val="24"/>
        </w:rPr>
        <w:t>income.</w:t>
      </w:r>
      <w:proofErr w:type="gramEnd"/>
    </w:p>
    <w:p w14:paraId="089C89AD" w14:textId="77777777" w:rsidR="00743404" w:rsidRPr="00740E44" w:rsidRDefault="00743404" w:rsidP="00E62A8A">
      <w:pPr>
        <w:spacing w:line="276" w:lineRule="auto"/>
        <w:ind w:firstLine="720"/>
        <w:jc w:val="both"/>
        <w:rPr>
          <w:rFonts w:ascii="Garamond" w:hAnsi="Garamond"/>
        </w:rPr>
      </w:pPr>
      <w:r w:rsidRPr="00740E44">
        <w:rPr>
          <w:rFonts w:ascii="Garamond" w:hAnsi="Garamond"/>
        </w:rPr>
        <w:t xml:space="preserve">In general, the minimum wage has not been able to meet the needs of life in Indonesia. Although this must be "returned" again to each individual. The needs of each individual certainly vary. increases in the prices of necessities, both primary and secondary, are sometimes not followed by an increase in wages, even if there is an increase in wages, it has not kept pace with the increase </w:t>
      </w:r>
      <w:r w:rsidRPr="00740E44">
        <w:rPr>
          <w:rFonts w:ascii="Garamond" w:hAnsi="Garamond"/>
        </w:rPr>
        <w:lastRenderedPageBreak/>
        <w:t>in prices. What is more concerning, there are still many companies that pay their workers below the stipulated minimum wage. On the other hand, setting the minimum wage is not an easy matter. Wallahua'lam bii ash-Showaab.</w:t>
      </w:r>
    </w:p>
    <w:p w14:paraId="785A78BA" w14:textId="77777777" w:rsidR="00743404" w:rsidRPr="00740E44" w:rsidRDefault="00743404" w:rsidP="00E62A8A">
      <w:pPr>
        <w:spacing w:line="276" w:lineRule="auto"/>
        <w:jc w:val="both"/>
        <w:rPr>
          <w:rFonts w:ascii="Garamond" w:hAnsi="Garamond"/>
          <w:b/>
          <w:bCs/>
        </w:rPr>
      </w:pPr>
      <w:r w:rsidRPr="00740E44">
        <w:rPr>
          <w:rFonts w:ascii="Garamond" w:hAnsi="Garamond"/>
          <w:b/>
          <w:bCs/>
        </w:rPr>
        <w:t>CONCLUSION</w:t>
      </w:r>
    </w:p>
    <w:p w14:paraId="41D67154" w14:textId="77777777" w:rsidR="00743404" w:rsidRPr="009172DA" w:rsidRDefault="00743404" w:rsidP="00E62A8A">
      <w:pPr>
        <w:spacing w:line="276" w:lineRule="auto"/>
        <w:ind w:firstLine="720"/>
        <w:jc w:val="both"/>
        <w:rPr>
          <w:rFonts w:ascii="Garamond" w:hAnsi="Garamond"/>
          <w:lang w:val="id-ID"/>
        </w:rPr>
      </w:pPr>
      <w:r w:rsidRPr="00740E44">
        <w:rPr>
          <w:rFonts w:ascii="Garamond" w:hAnsi="Garamond"/>
        </w:rPr>
        <w:t xml:space="preserve">Mukhabarah of cooperation agreement in agriculture which is allowed in Islam. Mukhabarah is a cooperation contract in the agricultural sector between land owners and managers (cultivators), where plant seeds come from land cultivators, agricultural products are divided between owners and cultivators according to an agreed ratio. Mukhabarah is very likely to be applied in Indonesia given the large number of rice fields belonging to landlords, especially in rural areas. With Mukhabarah there has been distribution of income between the rich and the poor through cooperation agreements. Meanwhile, Ujrah or wages can be interpreted as buying and selling services. Islam allows a person to sell his services, manpower, and expertise to get a certain amount of money. But what needs to be considered is, in providing wages, it must be commensurate with the services that have been issued. Because paying services far below the value of services that have been issued is a form of tyranny. </w:t>
      </w:r>
      <w:r w:rsidRPr="0082411C">
        <w:rPr>
          <w:rFonts w:ascii="Garamond" w:hAnsi="Garamond"/>
        </w:rPr>
        <w:t>The role of the government in legalizing workers' wages by setting an appropriate minimum wage based on Had al-Kifayah.</w:t>
      </w:r>
    </w:p>
    <w:p w14:paraId="5AC683CC" w14:textId="77777777" w:rsidR="00743404" w:rsidRDefault="00743404" w:rsidP="00E62A8A">
      <w:pPr>
        <w:spacing w:line="276" w:lineRule="auto"/>
        <w:jc w:val="both"/>
        <w:rPr>
          <w:rFonts w:ascii="Garamond" w:hAnsi="Garamond"/>
        </w:rPr>
      </w:pPr>
    </w:p>
    <w:p w14:paraId="0CBB129D" w14:textId="77777777" w:rsidR="00743404" w:rsidRDefault="00743404" w:rsidP="00E62A8A">
      <w:pPr>
        <w:spacing w:line="276" w:lineRule="auto"/>
        <w:jc w:val="both"/>
        <w:rPr>
          <w:rFonts w:ascii="Garamond" w:hAnsi="Garamond"/>
          <w:lang w:val="id-ID"/>
        </w:rPr>
      </w:pPr>
    </w:p>
    <w:p w14:paraId="7FC5BAEB" w14:textId="77777777" w:rsidR="00743404" w:rsidRDefault="00743404" w:rsidP="00E62A8A">
      <w:pPr>
        <w:spacing w:line="276" w:lineRule="auto"/>
        <w:jc w:val="both"/>
        <w:rPr>
          <w:rFonts w:ascii="Garamond" w:hAnsi="Garamond"/>
          <w:lang w:val="id-ID"/>
        </w:rPr>
      </w:pPr>
    </w:p>
    <w:p w14:paraId="5FA0B7D0" w14:textId="77777777" w:rsidR="00743404" w:rsidRDefault="00743404" w:rsidP="00E62A8A">
      <w:pPr>
        <w:spacing w:line="276" w:lineRule="auto"/>
        <w:jc w:val="both"/>
        <w:rPr>
          <w:rFonts w:ascii="Garamond" w:hAnsi="Garamond"/>
          <w:lang w:val="id-ID"/>
        </w:rPr>
      </w:pPr>
    </w:p>
    <w:p w14:paraId="33B89CE0" w14:textId="77777777" w:rsidR="00743404" w:rsidRDefault="00743404" w:rsidP="00E62A8A">
      <w:pPr>
        <w:spacing w:line="276" w:lineRule="auto"/>
        <w:jc w:val="both"/>
        <w:rPr>
          <w:rFonts w:ascii="Garamond" w:hAnsi="Garamond"/>
          <w:lang w:val="id-ID"/>
        </w:rPr>
      </w:pPr>
    </w:p>
    <w:p w14:paraId="4C670FF2" w14:textId="77777777" w:rsidR="00743404" w:rsidRDefault="00743404" w:rsidP="00E62A8A">
      <w:pPr>
        <w:spacing w:line="276" w:lineRule="auto"/>
        <w:jc w:val="both"/>
        <w:rPr>
          <w:rFonts w:ascii="Garamond" w:hAnsi="Garamond"/>
          <w:lang w:val="id-ID"/>
        </w:rPr>
      </w:pPr>
    </w:p>
    <w:p w14:paraId="28DB9733" w14:textId="77777777" w:rsidR="00743404" w:rsidRPr="009172DA" w:rsidRDefault="00743404" w:rsidP="00E62A8A">
      <w:pPr>
        <w:spacing w:line="276" w:lineRule="auto"/>
        <w:jc w:val="both"/>
        <w:rPr>
          <w:rFonts w:ascii="Garamond" w:hAnsi="Garamond"/>
          <w:lang w:val="id-ID"/>
        </w:rPr>
      </w:pPr>
    </w:p>
    <w:p w14:paraId="0B4442AB" w14:textId="77777777" w:rsidR="00743404" w:rsidRPr="00050436" w:rsidRDefault="00743404" w:rsidP="00E62A8A">
      <w:pPr>
        <w:spacing w:line="276" w:lineRule="auto"/>
        <w:jc w:val="center"/>
        <w:rPr>
          <w:rFonts w:ascii="Garamond" w:hAnsi="Garamond"/>
          <w:b/>
        </w:rPr>
      </w:pPr>
      <w:r w:rsidRPr="00050436">
        <w:rPr>
          <w:rFonts w:ascii="Garamond" w:hAnsi="Garamond"/>
          <w:b/>
        </w:rPr>
        <w:t>DAFTAR PUSTAKA</w:t>
      </w:r>
    </w:p>
    <w:p w14:paraId="54BE4401" w14:textId="77777777" w:rsidR="00743404" w:rsidRPr="00050436" w:rsidRDefault="00743404" w:rsidP="00E62A8A">
      <w:pPr>
        <w:spacing w:after="240" w:line="276" w:lineRule="auto"/>
        <w:ind w:left="709" w:hanging="709"/>
        <w:jc w:val="both"/>
        <w:rPr>
          <w:rFonts w:ascii="Garamond" w:hAnsi="Garamond"/>
        </w:rPr>
      </w:pPr>
      <w:r w:rsidRPr="00050436">
        <w:rPr>
          <w:rFonts w:ascii="Garamond" w:hAnsi="Garamond"/>
        </w:rPr>
        <w:t xml:space="preserve">Abdul Aziz Muhammad Azzam. (2010). </w:t>
      </w:r>
      <w:r w:rsidRPr="00050436">
        <w:rPr>
          <w:rFonts w:ascii="Garamond" w:hAnsi="Garamond"/>
          <w:i/>
          <w:iCs/>
        </w:rPr>
        <w:t>Fiqih Muamalat</w:t>
      </w:r>
      <w:r w:rsidRPr="00050436">
        <w:rPr>
          <w:rFonts w:ascii="Garamond" w:hAnsi="Garamond"/>
        </w:rPr>
        <w:t>. Jakarta: Amzah.</w:t>
      </w:r>
    </w:p>
    <w:p w14:paraId="2243C8CF"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Abdul Rahman Ghazaly, Ghufron Ihsan , dan  Sapiudin Shidiq. (2010) </w:t>
      </w:r>
      <w:r w:rsidRPr="00050436">
        <w:rPr>
          <w:rFonts w:ascii="Garamond" w:hAnsi="Garamond"/>
          <w:i/>
          <w:iCs/>
          <w:sz w:val="24"/>
          <w:szCs w:val="24"/>
        </w:rPr>
        <w:t>Fiqih Muamalat.</w:t>
      </w:r>
      <w:r w:rsidRPr="00050436">
        <w:rPr>
          <w:rFonts w:ascii="Garamond" w:hAnsi="Garamond"/>
          <w:sz w:val="24"/>
          <w:szCs w:val="24"/>
        </w:rPr>
        <w:t xml:space="preserve"> Jakarta: Kencana Prenada Media Group.</w:t>
      </w:r>
    </w:p>
    <w:p w14:paraId="1D7B7D00"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Al-Bukhari, </w:t>
      </w:r>
      <w:r w:rsidRPr="00050436">
        <w:rPr>
          <w:rFonts w:ascii="Garamond" w:hAnsi="Garamond"/>
          <w:i/>
          <w:iCs/>
          <w:sz w:val="24"/>
          <w:szCs w:val="24"/>
        </w:rPr>
        <w:t>Sahih al-Bukhari</w:t>
      </w:r>
      <w:r w:rsidRPr="00050436">
        <w:rPr>
          <w:rFonts w:ascii="Garamond" w:hAnsi="Garamond"/>
          <w:sz w:val="24"/>
          <w:szCs w:val="24"/>
        </w:rPr>
        <w:t>, juz II. (2004). Bandung : Pustaka Setia.</w:t>
      </w:r>
    </w:p>
    <w:p w14:paraId="25772DA3"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Ali Hasan. (1990). </w:t>
      </w:r>
      <w:r w:rsidRPr="00050436">
        <w:rPr>
          <w:rFonts w:ascii="Garamond" w:hAnsi="Garamond"/>
          <w:i/>
          <w:iCs/>
          <w:sz w:val="24"/>
          <w:szCs w:val="24"/>
        </w:rPr>
        <w:t>Berbagai macam transaksi Dalam Islam: Fiqh Muamalat</w:t>
      </w:r>
      <w:r w:rsidRPr="00050436">
        <w:rPr>
          <w:rFonts w:ascii="Garamond" w:hAnsi="Garamond"/>
          <w:sz w:val="24"/>
          <w:szCs w:val="24"/>
        </w:rPr>
        <w:t>, Semarang: Asy- Syifa’.</w:t>
      </w:r>
    </w:p>
    <w:p w14:paraId="681E8860"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lastRenderedPageBreak/>
        <w:t xml:space="preserve">Al-Qazwini Abi Muhammad ibn Yazid. (2008). </w:t>
      </w:r>
      <w:r w:rsidRPr="00050436">
        <w:rPr>
          <w:rFonts w:ascii="Garamond" w:hAnsi="Garamond"/>
          <w:i/>
          <w:iCs/>
          <w:sz w:val="24"/>
          <w:szCs w:val="24"/>
        </w:rPr>
        <w:t>Sunan Ibn Majah</w:t>
      </w:r>
      <w:r w:rsidRPr="00050436">
        <w:rPr>
          <w:rFonts w:ascii="Garamond" w:hAnsi="Garamond"/>
          <w:sz w:val="24"/>
          <w:szCs w:val="24"/>
        </w:rPr>
        <w:t>, juz II, Beirut: Dar al-Ahya al- Kutub al-Arabiyyah, t.t.</w:t>
      </w:r>
    </w:p>
    <w:p w14:paraId="7662B39F" w14:textId="77777777" w:rsidR="00743404" w:rsidRPr="00050436" w:rsidRDefault="00743404" w:rsidP="00E62A8A">
      <w:pPr>
        <w:pStyle w:val="Bibliography"/>
        <w:spacing w:line="276" w:lineRule="auto"/>
        <w:ind w:left="709" w:hanging="709"/>
        <w:rPr>
          <w:rFonts w:ascii="Garamond" w:hAnsi="Garamond" w:cs="Times New Roman"/>
          <w:noProof/>
          <w:sz w:val="24"/>
          <w:szCs w:val="24"/>
        </w:rPr>
      </w:pPr>
      <w:r w:rsidRPr="00050436">
        <w:rPr>
          <w:rFonts w:ascii="Garamond" w:eastAsia="Times New Roman" w:hAnsi="Garamond" w:cs="Times New Roman"/>
          <w:b/>
          <w:sz w:val="24"/>
          <w:szCs w:val="24"/>
        </w:rPr>
        <w:fldChar w:fldCharType="begin"/>
      </w:r>
      <w:r w:rsidRPr="00050436">
        <w:rPr>
          <w:rFonts w:ascii="Garamond" w:eastAsia="Times New Roman" w:hAnsi="Garamond" w:cs="Times New Roman"/>
          <w:b/>
          <w:sz w:val="24"/>
          <w:szCs w:val="24"/>
        </w:rPr>
        <w:instrText xml:space="preserve"> BIBLIOGRAPHY  \l 1033 </w:instrText>
      </w:r>
      <w:r w:rsidRPr="00050436">
        <w:rPr>
          <w:rFonts w:ascii="Garamond" w:eastAsia="Times New Roman" w:hAnsi="Garamond" w:cs="Times New Roman"/>
          <w:b/>
          <w:sz w:val="24"/>
          <w:szCs w:val="24"/>
        </w:rPr>
        <w:fldChar w:fldCharType="separate"/>
      </w:r>
      <w:r w:rsidRPr="00050436">
        <w:rPr>
          <w:rFonts w:ascii="Garamond" w:hAnsi="Garamond" w:cs="Times New Roman"/>
          <w:noProof/>
          <w:sz w:val="24"/>
          <w:szCs w:val="24"/>
        </w:rPr>
        <w:t xml:space="preserve">Antonio, Syafi'i. (2001). </w:t>
      </w:r>
      <w:r w:rsidRPr="00050436">
        <w:rPr>
          <w:rFonts w:ascii="Garamond" w:hAnsi="Garamond" w:cs="Times New Roman"/>
          <w:i/>
          <w:iCs/>
          <w:noProof/>
          <w:sz w:val="24"/>
          <w:szCs w:val="24"/>
        </w:rPr>
        <w:t>Bank Syariah Dari Teori Ke Praktik.</w:t>
      </w:r>
      <w:r w:rsidRPr="00050436">
        <w:rPr>
          <w:rFonts w:ascii="Garamond" w:hAnsi="Garamond" w:cs="Times New Roman"/>
          <w:noProof/>
          <w:sz w:val="24"/>
          <w:szCs w:val="24"/>
        </w:rPr>
        <w:t xml:space="preserve"> Depok: Gema Insani Press.</w:t>
      </w:r>
    </w:p>
    <w:p w14:paraId="4391D86B"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Chairuman Pasaribu dan Suhrawardi K. Lubis. (1994). </w:t>
      </w:r>
      <w:r w:rsidRPr="00050436">
        <w:rPr>
          <w:rFonts w:ascii="Garamond" w:hAnsi="Garamond"/>
          <w:i/>
          <w:iCs/>
          <w:sz w:val="24"/>
          <w:szCs w:val="24"/>
        </w:rPr>
        <w:t>Hukum Perjanjian dalam Islam</w:t>
      </w:r>
      <w:r w:rsidRPr="00050436">
        <w:rPr>
          <w:rFonts w:ascii="Garamond" w:hAnsi="Garamond"/>
          <w:sz w:val="24"/>
          <w:szCs w:val="24"/>
        </w:rPr>
        <w:t>, Jakarta: Sinar Grafika.</w:t>
      </w:r>
    </w:p>
    <w:p w14:paraId="4D284BE0" w14:textId="77777777" w:rsidR="00743404" w:rsidRPr="00050436" w:rsidRDefault="00743404" w:rsidP="00E62A8A">
      <w:pPr>
        <w:pStyle w:val="FootnoteText"/>
        <w:spacing w:after="240" w:line="276" w:lineRule="auto"/>
        <w:ind w:left="709" w:hanging="709"/>
        <w:rPr>
          <w:rFonts w:ascii="Garamond" w:hAnsi="Garamond"/>
          <w:sz w:val="24"/>
          <w:szCs w:val="24"/>
        </w:rPr>
      </w:pPr>
      <w:r w:rsidRPr="00050436">
        <w:rPr>
          <w:rFonts w:ascii="Garamond" w:hAnsi="Garamond"/>
          <w:sz w:val="24"/>
          <w:szCs w:val="24"/>
        </w:rPr>
        <w:t xml:space="preserve">Departemen Agama RI. (1990). </w:t>
      </w:r>
      <w:r w:rsidRPr="00050436">
        <w:rPr>
          <w:rFonts w:ascii="Garamond" w:hAnsi="Garamond"/>
          <w:i/>
          <w:iCs/>
          <w:sz w:val="24"/>
          <w:szCs w:val="24"/>
        </w:rPr>
        <w:t>Al-Qur’an dan Terjemahnya</w:t>
      </w:r>
      <w:r w:rsidRPr="00050436">
        <w:rPr>
          <w:rFonts w:ascii="Garamond" w:hAnsi="Garamond"/>
          <w:sz w:val="24"/>
          <w:szCs w:val="24"/>
        </w:rPr>
        <w:t>, Surabaya : Mahkota.</w:t>
      </w:r>
    </w:p>
    <w:p w14:paraId="1DF3A366" w14:textId="77777777" w:rsidR="00743404" w:rsidRPr="00050436" w:rsidRDefault="00743404" w:rsidP="00E62A8A">
      <w:pPr>
        <w:pStyle w:val="Default"/>
        <w:spacing w:after="240" w:line="276" w:lineRule="auto"/>
        <w:ind w:left="709" w:hanging="709"/>
        <w:rPr>
          <w:rFonts w:cs="Times New Roman"/>
          <w:lang w:val="en-US"/>
        </w:rPr>
      </w:pPr>
      <w:r w:rsidRPr="00050436">
        <w:rPr>
          <w:rFonts w:cs="Times New Roman"/>
        </w:rPr>
        <w:t>Departemen pendidikan</w:t>
      </w:r>
      <w:r w:rsidRPr="00050436">
        <w:rPr>
          <w:rFonts w:cs="Times New Roman"/>
          <w:lang w:val="en-US"/>
        </w:rPr>
        <w:t>. (2000).</w:t>
      </w:r>
      <w:r w:rsidRPr="00050436">
        <w:rPr>
          <w:rFonts w:cs="Times New Roman"/>
        </w:rPr>
        <w:t xml:space="preserve"> </w:t>
      </w:r>
      <w:r w:rsidRPr="00050436">
        <w:rPr>
          <w:rFonts w:cs="Times New Roman"/>
          <w:i/>
          <w:iCs/>
        </w:rPr>
        <w:t>Kamus Besar Bahasa Indonesia</w:t>
      </w:r>
      <w:r w:rsidRPr="00050436">
        <w:rPr>
          <w:rFonts w:cs="Times New Roman"/>
        </w:rPr>
        <w:t>, Jakarta : Balai Pustaka</w:t>
      </w:r>
      <w:r w:rsidRPr="00050436">
        <w:rPr>
          <w:rFonts w:cs="Times New Roman"/>
          <w:lang w:val="en-US"/>
        </w:rPr>
        <w:t>.</w:t>
      </w:r>
    </w:p>
    <w:p w14:paraId="26D03D6C" w14:textId="77777777" w:rsidR="00743404" w:rsidRPr="00050436" w:rsidRDefault="00743404" w:rsidP="00E62A8A">
      <w:pPr>
        <w:pStyle w:val="FootnoteText"/>
        <w:spacing w:after="240" w:line="276" w:lineRule="auto"/>
        <w:ind w:left="709" w:hanging="709"/>
        <w:rPr>
          <w:rFonts w:ascii="Garamond" w:hAnsi="Garamond"/>
          <w:sz w:val="24"/>
          <w:szCs w:val="24"/>
        </w:rPr>
      </w:pPr>
      <w:r w:rsidRPr="00050436">
        <w:rPr>
          <w:rFonts w:ascii="Garamond" w:hAnsi="Garamond"/>
          <w:sz w:val="24"/>
          <w:szCs w:val="24"/>
        </w:rPr>
        <w:t xml:space="preserve">Ghufran A. Mas’adi. (2002). </w:t>
      </w:r>
      <w:r w:rsidRPr="00050436">
        <w:rPr>
          <w:rFonts w:ascii="Garamond" w:hAnsi="Garamond"/>
          <w:i/>
          <w:iCs/>
          <w:sz w:val="24"/>
          <w:szCs w:val="24"/>
        </w:rPr>
        <w:t>Fiqh Muamalah Konstektual</w:t>
      </w:r>
      <w:r w:rsidRPr="00050436">
        <w:rPr>
          <w:rFonts w:ascii="Garamond" w:hAnsi="Garamond"/>
          <w:sz w:val="24"/>
          <w:szCs w:val="24"/>
        </w:rPr>
        <w:t>, Jakarta: PT. Raja Grafindo Persada.</w:t>
      </w:r>
    </w:p>
    <w:p w14:paraId="1DD12902" w14:textId="77777777" w:rsidR="00743404" w:rsidRPr="00050436" w:rsidRDefault="00743404" w:rsidP="00E62A8A">
      <w:pPr>
        <w:pStyle w:val="Default"/>
        <w:spacing w:after="240" w:line="276" w:lineRule="auto"/>
        <w:ind w:left="709" w:hanging="709"/>
        <w:jc w:val="both"/>
        <w:rPr>
          <w:rFonts w:cs="Times New Roman"/>
          <w:lang w:val="en-US"/>
        </w:rPr>
      </w:pPr>
      <w:r w:rsidRPr="00050436">
        <w:rPr>
          <w:rFonts w:cs="Times New Roman"/>
        </w:rPr>
        <w:t>Helmi Karim</w:t>
      </w:r>
      <w:r w:rsidRPr="00050436">
        <w:rPr>
          <w:rFonts w:cs="Times New Roman"/>
          <w:lang w:val="en-US"/>
        </w:rPr>
        <w:t xml:space="preserve">. (1997). </w:t>
      </w:r>
      <w:r w:rsidRPr="00050436">
        <w:rPr>
          <w:rFonts w:cs="Times New Roman"/>
          <w:i/>
          <w:iCs/>
        </w:rPr>
        <w:t>Fiqh Mu'amalah</w:t>
      </w:r>
      <w:r w:rsidRPr="00050436">
        <w:rPr>
          <w:rFonts w:cs="Times New Roman"/>
        </w:rPr>
        <w:t>, Jakarta : Rajawali Pers</w:t>
      </w:r>
      <w:r w:rsidRPr="00050436">
        <w:rPr>
          <w:rFonts w:cs="Times New Roman"/>
          <w:lang w:val="en-US"/>
        </w:rPr>
        <w:t>.</w:t>
      </w:r>
    </w:p>
    <w:p w14:paraId="7C1F0438" w14:textId="77777777" w:rsidR="00743404" w:rsidRDefault="00743404" w:rsidP="00E62A8A">
      <w:pPr>
        <w:pStyle w:val="FootnoteText"/>
        <w:spacing w:after="240" w:line="276" w:lineRule="auto"/>
        <w:jc w:val="both"/>
        <w:rPr>
          <w:rFonts w:ascii="Garamond" w:hAnsi="Garamond"/>
          <w:sz w:val="24"/>
          <w:szCs w:val="24"/>
        </w:rPr>
      </w:pPr>
      <w:r w:rsidRPr="00050436">
        <w:rPr>
          <w:rFonts w:ascii="Garamond" w:hAnsi="Garamond"/>
          <w:b/>
          <w:sz w:val="24"/>
          <w:szCs w:val="24"/>
        </w:rPr>
        <w:fldChar w:fldCharType="end"/>
      </w:r>
      <w:r w:rsidRPr="00050436">
        <w:rPr>
          <w:rFonts w:ascii="Garamond" w:hAnsi="Garamond"/>
          <w:sz w:val="24"/>
          <w:szCs w:val="24"/>
        </w:rPr>
        <w:t xml:space="preserve">Hendi Suhendi. (2014). </w:t>
      </w:r>
      <w:r w:rsidRPr="00050436">
        <w:rPr>
          <w:rFonts w:ascii="Garamond" w:hAnsi="Garamond"/>
          <w:i/>
          <w:iCs/>
          <w:sz w:val="24"/>
          <w:szCs w:val="24"/>
        </w:rPr>
        <w:t>Fiqih Muamalah</w:t>
      </w:r>
      <w:r w:rsidRPr="00050436">
        <w:rPr>
          <w:rFonts w:ascii="Garamond" w:hAnsi="Garamond"/>
          <w:sz w:val="24"/>
          <w:szCs w:val="24"/>
        </w:rPr>
        <w:t>, Jakarta: PT. Raja Grafindo Persada</w:t>
      </w:r>
    </w:p>
    <w:p w14:paraId="4CF1D805" w14:textId="77777777" w:rsidR="00743404" w:rsidRDefault="00743404" w:rsidP="00E62A8A">
      <w:pPr>
        <w:pStyle w:val="FootnoteText"/>
        <w:spacing w:after="240" w:line="276" w:lineRule="auto"/>
        <w:ind w:left="709" w:hanging="709"/>
        <w:jc w:val="both"/>
        <w:rPr>
          <w:rFonts w:ascii="Garamond" w:hAnsi="Garamond" w:cs="Arial"/>
          <w:color w:val="222222"/>
          <w:sz w:val="24"/>
          <w:szCs w:val="24"/>
          <w:shd w:val="clear" w:color="auto" w:fill="FFFFFF"/>
        </w:rPr>
      </w:pPr>
      <w:r w:rsidRPr="0022576D">
        <w:rPr>
          <w:rFonts w:ascii="Garamond" w:hAnsi="Garamond" w:cs="Arial"/>
          <w:color w:val="222222"/>
          <w:sz w:val="24"/>
          <w:szCs w:val="24"/>
          <w:shd w:val="clear" w:color="auto" w:fill="FFFFFF"/>
        </w:rPr>
        <w:t>Imani, S., &amp; Almas, B. (2020). ANALISIS KEBIJAKAN FISKAL EKSPANSIF PADA APBN DI INDONESIA PERSPEKTIF EKONOMI ISLAM. </w:t>
      </w:r>
      <w:r w:rsidRPr="0022576D">
        <w:rPr>
          <w:rFonts w:ascii="Garamond" w:hAnsi="Garamond" w:cs="Arial"/>
          <w:i/>
          <w:iCs/>
          <w:color w:val="222222"/>
          <w:sz w:val="24"/>
          <w:szCs w:val="24"/>
          <w:shd w:val="clear" w:color="auto" w:fill="FFFFFF"/>
        </w:rPr>
        <w:t>FreakonomicS: Journal of Islamic Economics and Finance</w:t>
      </w:r>
      <w:r w:rsidRPr="0022576D">
        <w:rPr>
          <w:rFonts w:ascii="Garamond" w:hAnsi="Garamond" w:cs="Arial"/>
          <w:color w:val="222222"/>
          <w:sz w:val="24"/>
          <w:szCs w:val="24"/>
          <w:shd w:val="clear" w:color="auto" w:fill="FFFFFF"/>
        </w:rPr>
        <w:t>, </w:t>
      </w:r>
      <w:r w:rsidRPr="0022576D">
        <w:rPr>
          <w:rFonts w:ascii="Garamond" w:hAnsi="Garamond" w:cs="Arial"/>
          <w:i/>
          <w:iCs/>
          <w:color w:val="222222"/>
          <w:sz w:val="24"/>
          <w:szCs w:val="24"/>
          <w:shd w:val="clear" w:color="auto" w:fill="FFFFFF"/>
        </w:rPr>
        <w:t>1</w:t>
      </w:r>
      <w:r w:rsidRPr="0022576D">
        <w:rPr>
          <w:rFonts w:ascii="Garamond" w:hAnsi="Garamond" w:cs="Arial"/>
          <w:color w:val="222222"/>
          <w:sz w:val="24"/>
          <w:szCs w:val="24"/>
          <w:shd w:val="clear" w:color="auto" w:fill="FFFFFF"/>
        </w:rPr>
        <w:t>(1), 56-66.</w:t>
      </w:r>
    </w:p>
    <w:p w14:paraId="74F9256F" w14:textId="77777777" w:rsidR="00743404" w:rsidRPr="00CB2D5C" w:rsidRDefault="00743404" w:rsidP="00E62A8A">
      <w:pPr>
        <w:pStyle w:val="FootnoteText"/>
        <w:spacing w:after="240" w:line="276" w:lineRule="auto"/>
        <w:ind w:left="709" w:hanging="709"/>
        <w:jc w:val="both"/>
        <w:rPr>
          <w:rFonts w:ascii="Garamond" w:hAnsi="Garamond"/>
          <w:sz w:val="24"/>
          <w:szCs w:val="24"/>
        </w:rPr>
      </w:pPr>
      <w:r w:rsidRPr="00CB2D5C">
        <w:rPr>
          <w:rFonts w:ascii="Garamond" w:hAnsi="Garamond" w:cs="Segoe UI"/>
          <w:sz w:val="24"/>
          <w:szCs w:val="24"/>
        </w:rPr>
        <w:t>Kambali, M. (2015</w:t>
      </w:r>
      <w:r>
        <w:rPr>
          <w:rFonts w:ascii="Garamond" w:hAnsi="Garamond" w:cs="Segoe UI"/>
          <w:sz w:val="24"/>
          <w:szCs w:val="24"/>
          <w:lang w:val="id-ID"/>
        </w:rPr>
        <w:t>)</w:t>
      </w:r>
      <w:r w:rsidRPr="00CB2D5C">
        <w:rPr>
          <w:rFonts w:ascii="Garamond" w:hAnsi="Garamond" w:cs="Segoe UI"/>
          <w:sz w:val="24"/>
          <w:szCs w:val="24"/>
        </w:rPr>
        <w:t>. KRITIK EKONOMI ISLAM TERHADAP MEKANISME DISTRIBUSI PENDAPATAN DALAM SISTEM EKONOMI KAPITALIS. </w:t>
      </w:r>
      <w:r w:rsidRPr="00CB2D5C">
        <w:rPr>
          <w:rFonts w:ascii="Garamond" w:hAnsi="Garamond" w:cs="Segoe UI"/>
          <w:i/>
          <w:iCs/>
          <w:sz w:val="24"/>
          <w:szCs w:val="24"/>
        </w:rPr>
        <w:t>Ulumuna: Jurnal Studi Keislaman</w:t>
      </w:r>
      <w:r w:rsidRPr="00CB2D5C">
        <w:rPr>
          <w:rFonts w:ascii="Garamond" w:hAnsi="Garamond" w:cs="Segoe UI"/>
          <w:sz w:val="24"/>
          <w:szCs w:val="24"/>
        </w:rPr>
        <w:t>, </w:t>
      </w:r>
      <w:r w:rsidRPr="00CB2D5C">
        <w:rPr>
          <w:rFonts w:ascii="Garamond" w:hAnsi="Garamond" w:cs="Segoe UI"/>
          <w:i/>
          <w:iCs/>
          <w:sz w:val="24"/>
          <w:szCs w:val="24"/>
        </w:rPr>
        <w:t>1</w:t>
      </w:r>
      <w:r w:rsidRPr="00CB2D5C">
        <w:rPr>
          <w:rFonts w:ascii="Garamond" w:hAnsi="Garamond" w:cs="Segoe UI"/>
          <w:sz w:val="24"/>
          <w:szCs w:val="24"/>
        </w:rPr>
        <w:t>(2).</w:t>
      </w:r>
    </w:p>
    <w:p w14:paraId="151E0990" w14:textId="77777777" w:rsidR="00743404" w:rsidRPr="00050436" w:rsidRDefault="00743404" w:rsidP="00E62A8A">
      <w:pPr>
        <w:pStyle w:val="Bibliography"/>
        <w:spacing w:line="276" w:lineRule="auto"/>
        <w:rPr>
          <w:rFonts w:ascii="Garamond" w:hAnsi="Garamond" w:cs="Times New Roman"/>
          <w:noProof/>
          <w:sz w:val="24"/>
          <w:szCs w:val="24"/>
        </w:rPr>
      </w:pPr>
      <w:r w:rsidRPr="00050436">
        <w:rPr>
          <w:rFonts w:ascii="Garamond" w:hAnsi="Garamond" w:cs="Times New Roman"/>
          <w:noProof/>
          <w:sz w:val="24"/>
          <w:szCs w:val="24"/>
        </w:rPr>
        <w:t xml:space="preserve">Mardani. (2012). </w:t>
      </w:r>
      <w:r w:rsidRPr="00050436">
        <w:rPr>
          <w:rFonts w:ascii="Garamond" w:hAnsi="Garamond" w:cs="Times New Roman"/>
          <w:i/>
          <w:iCs/>
          <w:noProof/>
          <w:sz w:val="24"/>
          <w:szCs w:val="24"/>
        </w:rPr>
        <w:t>Fiqh Ekonomi Syariah.</w:t>
      </w:r>
      <w:r w:rsidRPr="00050436">
        <w:rPr>
          <w:rFonts w:ascii="Garamond" w:hAnsi="Garamond" w:cs="Times New Roman"/>
          <w:noProof/>
          <w:sz w:val="24"/>
          <w:szCs w:val="24"/>
        </w:rPr>
        <w:t xml:space="preserve"> Jakarta: Prenadamedia Group.</w:t>
      </w:r>
    </w:p>
    <w:p w14:paraId="3C61A511" w14:textId="77777777" w:rsidR="00743404" w:rsidRPr="00A11AEC"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M. Quraish Shihab. (2000). </w:t>
      </w:r>
      <w:r w:rsidRPr="00050436">
        <w:rPr>
          <w:rFonts w:ascii="Garamond" w:hAnsi="Garamond"/>
          <w:i/>
          <w:iCs/>
          <w:sz w:val="24"/>
          <w:szCs w:val="24"/>
        </w:rPr>
        <w:t>Tafsir al-Mishbah, Pesan Kesan dan Keserasian al-Qur’an</w:t>
      </w:r>
      <w:r w:rsidRPr="00050436">
        <w:rPr>
          <w:rFonts w:ascii="Garamond" w:hAnsi="Garamond"/>
          <w:sz w:val="24"/>
          <w:szCs w:val="24"/>
        </w:rPr>
        <w:t>, Vol. 12, Ciputat : Lentera Hati.</w:t>
      </w:r>
    </w:p>
    <w:p w14:paraId="09064928" w14:textId="77777777" w:rsidR="00743404" w:rsidRPr="004B1365" w:rsidRDefault="00743404" w:rsidP="00E62A8A">
      <w:pPr>
        <w:pStyle w:val="FootnoteText"/>
        <w:spacing w:after="240" w:line="276" w:lineRule="auto"/>
        <w:ind w:left="709" w:hanging="709"/>
        <w:jc w:val="both"/>
        <w:rPr>
          <w:rFonts w:ascii="Garamond" w:hAnsi="Garamond"/>
          <w:sz w:val="24"/>
          <w:szCs w:val="24"/>
        </w:rPr>
      </w:pPr>
      <w:r w:rsidRPr="004B1365">
        <w:rPr>
          <w:rFonts w:ascii="Garamond" w:hAnsi="Garamond" w:cs="Arial"/>
          <w:color w:val="222222"/>
          <w:sz w:val="24"/>
          <w:szCs w:val="24"/>
          <w:shd w:val="clear" w:color="auto" w:fill="FFFFFF"/>
        </w:rPr>
        <w:t xml:space="preserve">Mansur, R. M., &amp; Kamali, M. (2020). HOW DOES PATTERN RELATIONSHIP BETWEEN OPERATIONAL BUSINESS SYSTEMS WITH DRIVER BEHAVIOR? ISLAMIC ECONOMIC </w:t>
      </w:r>
      <w:r w:rsidRPr="004B1365">
        <w:rPr>
          <w:rFonts w:ascii="Garamond" w:hAnsi="Garamond" w:cs="Arial"/>
          <w:color w:val="222222"/>
          <w:sz w:val="24"/>
          <w:szCs w:val="24"/>
          <w:shd w:val="clear" w:color="auto" w:fill="FFFFFF"/>
        </w:rPr>
        <w:lastRenderedPageBreak/>
        <w:t>REVIEW. In </w:t>
      </w:r>
      <w:r w:rsidRPr="004B1365">
        <w:rPr>
          <w:rFonts w:ascii="Garamond" w:hAnsi="Garamond" w:cs="Arial"/>
          <w:i/>
          <w:iCs/>
          <w:color w:val="222222"/>
          <w:sz w:val="24"/>
          <w:szCs w:val="24"/>
          <w:shd w:val="clear" w:color="auto" w:fill="FFFFFF"/>
        </w:rPr>
        <w:t>1st International Conference on Morality (InCoMora)</w:t>
      </w:r>
      <w:r w:rsidRPr="004B1365">
        <w:rPr>
          <w:rFonts w:ascii="Garamond" w:hAnsi="Garamond" w:cs="Arial"/>
          <w:color w:val="222222"/>
          <w:sz w:val="24"/>
          <w:szCs w:val="24"/>
          <w:shd w:val="clear" w:color="auto" w:fill="FFFFFF"/>
        </w:rPr>
        <w:t> (No. 1, pp. 311-320).</w:t>
      </w:r>
    </w:p>
    <w:p w14:paraId="51313E0D" w14:textId="77777777" w:rsidR="00743404" w:rsidRPr="00050436" w:rsidRDefault="00743404" w:rsidP="00E62A8A">
      <w:pPr>
        <w:pStyle w:val="FootnoteText"/>
        <w:spacing w:after="240" w:line="276" w:lineRule="auto"/>
        <w:ind w:left="709" w:hanging="709"/>
        <w:rPr>
          <w:rFonts w:ascii="Garamond" w:hAnsi="Garamond"/>
          <w:sz w:val="24"/>
          <w:szCs w:val="24"/>
        </w:rPr>
      </w:pPr>
      <w:r w:rsidRPr="00050436">
        <w:rPr>
          <w:rFonts w:ascii="Garamond" w:hAnsi="Garamond"/>
          <w:sz w:val="24"/>
          <w:szCs w:val="24"/>
        </w:rPr>
        <w:t xml:space="preserve">Moh. Saifullah Al Aziz S. (2005). </w:t>
      </w:r>
      <w:r w:rsidRPr="00050436">
        <w:rPr>
          <w:rFonts w:ascii="Garamond" w:hAnsi="Garamond"/>
          <w:i/>
          <w:iCs/>
          <w:sz w:val="24"/>
          <w:szCs w:val="24"/>
        </w:rPr>
        <w:t>Fiqih Islam Lengkap</w:t>
      </w:r>
      <w:r w:rsidRPr="00050436">
        <w:rPr>
          <w:rFonts w:ascii="Garamond" w:hAnsi="Garamond"/>
          <w:sz w:val="24"/>
          <w:szCs w:val="24"/>
        </w:rPr>
        <w:t>, Surabaya: Terang Surabaya.</w:t>
      </w:r>
    </w:p>
    <w:p w14:paraId="69264D3D"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M. Arkal Salim. (1999). </w:t>
      </w:r>
      <w:r w:rsidRPr="00050436">
        <w:rPr>
          <w:rFonts w:ascii="Garamond" w:hAnsi="Garamond"/>
          <w:i/>
          <w:iCs/>
          <w:sz w:val="24"/>
          <w:szCs w:val="24"/>
        </w:rPr>
        <w:t>Etika Investasi Negara: Perspektif Etika Politik Ibnu Taimiyah</w:t>
      </w:r>
      <w:r w:rsidRPr="00050436">
        <w:rPr>
          <w:rFonts w:ascii="Garamond" w:hAnsi="Garamond"/>
          <w:sz w:val="24"/>
          <w:szCs w:val="24"/>
        </w:rPr>
        <w:t>, Jakarta: Logos.</w:t>
      </w:r>
    </w:p>
    <w:p w14:paraId="7D6E192A" w14:textId="77777777" w:rsidR="00743404" w:rsidRDefault="00743404" w:rsidP="00E62A8A">
      <w:pPr>
        <w:pStyle w:val="FootnoteText"/>
        <w:spacing w:after="240" w:line="276" w:lineRule="auto"/>
        <w:ind w:left="709" w:hanging="709"/>
        <w:rPr>
          <w:rFonts w:ascii="Garamond" w:hAnsi="Garamond"/>
          <w:sz w:val="24"/>
          <w:szCs w:val="24"/>
        </w:rPr>
      </w:pPr>
      <w:r w:rsidRPr="00050436">
        <w:rPr>
          <w:rFonts w:ascii="Garamond" w:hAnsi="Garamond"/>
          <w:sz w:val="24"/>
          <w:szCs w:val="24"/>
        </w:rPr>
        <w:t>Muhammad Al Albani</w:t>
      </w:r>
      <w:r w:rsidRPr="00050436">
        <w:rPr>
          <w:rFonts w:ascii="Garamond" w:hAnsi="Garamond"/>
          <w:i/>
          <w:iCs/>
          <w:sz w:val="24"/>
          <w:szCs w:val="24"/>
        </w:rPr>
        <w:t xml:space="preserve">. </w:t>
      </w:r>
      <w:r w:rsidRPr="00050436">
        <w:rPr>
          <w:rFonts w:ascii="Garamond" w:hAnsi="Garamond"/>
          <w:iCs/>
          <w:sz w:val="24"/>
          <w:szCs w:val="24"/>
        </w:rPr>
        <w:t xml:space="preserve">(2007). </w:t>
      </w:r>
      <w:r w:rsidRPr="00050436">
        <w:rPr>
          <w:rFonts w:ascii="Garamond" w:hAnsi="Garamond"/>
          <w:i/>
          <w:iCs/>
          <w:sz w:val="24"/>
          <w:szCs w:val="24"/>
        </w:rPr>
        <w:t>Shahih Sunan Ibnu Majah</w:t>
      </w:r>
      <w:r w:rsidRPr="00050436">
        <w:rPr>
          <w:rFonts w:ascii="Garamond" w:hAnsi="Garamond"/>
          <w:sz w:val="24"/>
          <w:szCs w:val="24"/>
        </w:rPr>
        <w:t>, Jakarta: Pustaka Azzam.</w:t>
      </w:r>
    </w:p>
    <w:p w14:paraId="03C851B4" w14:textId="77777777" w:rsidR="00743404" w:rsidRDefault="00743404" w:rsidP="00E62A8A">
      <w:pPr>
        <w:pStyle w:val="FootnoteText"/>
        <w:spacing w:after="240" w:line="276" w:lineRule="auto"/>
        <w:ind w:left="709" w:hanging="709"/>
        <w:jc w:val="both"/>
        <w:rPr>
          <w:rFonts w:ascii="Garamond" w:hAnsi="Garamond"/>
          <w:sz w:val="24"/>
          <w:szCs w:val="24"/>
        </w:rPr>
      </w:pPr>
      <w:r w:rsidRPr="0022576D">
        <w:rPr>
          <w:rFonts w:ascii="Garamond" w:hAnsi="Garamond" w:cs="Arial"/>
          <w:color w:val="222222"/>
          <w:sz w:val="24"/>
          <w:szCs w:val="24"/>
          <w:shd w:val="clear" w:color="auto" w:fill="FFFFFF"/>
        </w:rPr>
        <w:t>Muhtadi, R. (2017, August). ISLAMIC CONCEPTS AS EFFORT TO UTILIZE WASTELAND OF PUBLIC REVENUE DISTRIBUTION. In </w:t>
      </w:r>
      <w:r w:rsidRPr="0022576D">
        <w:rPr>
          <w:rFonts w:ascii="Garamond" w:hAnsi="Garamond" w:cs="Arial"/>
          <w:i/>
          <w:iCs/>
          <w:color w:val="222222"/>
          <w:sz w:val="24"/>
          <w:szCs w:val="24"/>
          <w:shd w:val="clear" w:color="auto" w:fill="FFFFFF"/>
        </w:rPr>
        <w:t>1st International Conference Postgraduate School Universitas Airlangga:" Implementation of Climate Change Agreement to Meet Sustainable Development Goals"(ICPSUAS 2017)</w:t>
      </w:r>
      <w:r w:rsidRPr="0022576D">
        <w:rPr>
          <w:rFonts w:ascii="Garamond" w:hAnsi="Garamond" w:cs="Arial"/>
          <w:color w:val="222222"/>
          <w:sz w:val="24"/>
          <w:szCs w:val="24"/>
          <w:shd w:val="clear" w:color="auto" w:fill="FFFFFF"/>
        </w:rPr>
        <w:t>. Atlantis Press.</w:t>
      </w:r>
    </w:p>
    <w:p w14:paraId="36F31A2B" w14:textId="77777777" w:rsidR="00743404" w:rsidRPr="004C53F8" w:rsidRDefault="00743404" w:rsidP="00E62A8A">
      <w:pPr>
        <w:pStyle w:val="FootnoteText"/>
        <w:spacing w:after="240" w:line="276" w:lineRule="auto"/>
        <w:ind w:left="709" w:hanging="709"/>
        <w:jc w:val="both"/>
        <w:rPr>
          <w:rFonts w:ascii="Garamond" w:hAnsi="Garamond"/>
          <w:sz w:val="24"/>
          <w:szCs w:val="24"/>
        </w:rPr>
      </w:pPr>
      <w:r w:rsidRPr="004C53F8">
        <w:rPr>
          <w:rFonts w:ascii="Garamond" w:hAnsi="Garamond" w:cs="Arial"/>
          <w:color w:val="222222"/>
          <w:sz w:val="24"/>
          <w:szCs w:val="24"/>
          <w:shd w:val="clear" w:color="auto" w:fill="FFFFFF"/>
        </w:rPr>
        <w:t>Muhtadi, R., Wirmanda, A. Y., &amp; Premananto, G. C. (2019). MODEL EDUKASI DAN PERLINDUNGAN KONSUMEN BERBASIS MAQASHID SYARIAH PADA JAMINAN SOSIAL. </w:t>
      </w:r>
      <w:r w:rsidRPr="004C53F8">
        <w:rPr>
          <w:rFonts w:ascii="Garamond" w:hAnsi="Garamond" w:cs="Arial"/>
          <w:i/>
          <w:iCs/>
          <w:color w:val="222222"/>
          <w:sz w:val="24"/>
          <w:szCs w:val="24"/>
          <w:shd w:val="clear" w:color="auto" w:fill="FFFFFF"/>
        </w:rPr>
        <w:t>Ulumuna: Jurnal Studi Keislaman</w:t>
      </w:r>
      <w:r w:rsidRPr="004C53F8">
        <w:rPr>
          <w:rFonts w:ascii="Garamond" w:hAnsi="Garamond" w:cs="Arial"/>
          <w:color w:val="222222"/>
          <w:sz w:val="24"/>
          <w:szCs w:val="24"/>
          <w:shd w:val="clear" w:color="auto" w:fill="FFFFFF"/>
        </w:rPr>
        <w:t>, </w:t>
      </w:r>
      <w:r w:rsidRPr="004C53F8">
        <w:rPr>
          <w:rFonts w:ascii="Garamond" w:hAnsi="Garamond" w:cs="Arial"/>
          <w:i/>
          <w:iCs/>
          <w:color w:val="222222"/>
          <w:sz w:val="24"/>
          <w:szCs w:val="24"/>
          <w:shd w:val="clear" w:color="auto" w:fill="FFFFFF"/>
        </w:rPr>
        <w:t>5</w:t>
      </w:r>
      <w:r w:rsidRPr="004C53F8">
        <w:rPr>
          <w:rFonts w:ascii="Garamond" w:hAnsi="Garamond" w:cs="Arial"/>
          <w:color w:val="222222"/>
          <w:sz w:val="24"/>
          <w:szCs w:val="24"/>
          <w:shd w:val="clear" w:color="auto" w:fill="FFFFFF"/>
        </w:rPr>
        <w:t>(1), 53-77.</w:t>
      </w:r>
    </w:p>
    <w:p w14:paraId="273FAACE" w14:textId="77777777" w:rsidR="00743404" w:rsidRPr="00050436" w:rsidRDefault="00743404" w:rsidP="00E62A8A">
      <w:pPr>
        <w:pStyle w:val="FootnoteText"/>
        <w:spacing w:after="240" w:line="276" w:lineRule="auto"/>
        <w:ind w:left="709" w:hanging="709"/>
        <w:rPr>
          <w:rFonts w:ascii="Garamond" w:hAnsi="Garamond"/>
          <w:sz w:val="24"/>
          <w:szCs w:val="24"/>
        </w:rPr>
      </w:pPr>
      <w:r w:rsidRPr="00050436">
        <w:rPr>
          <w:rFonts w:ascii="Garamond" w:hAnsi="Garamond"/>
          <w:sz w:val="24"/>
          <w:szCs w:val="24"/>
        </w:rPr>
        <w:t xml:space="preserve">Qomarul Huda. (2011) </w:t>
      </w:r>
      <w:r w:rsidRPr="00050436">
        <w:rPr>
          <w:rFonts w:ascii="Garamond" w:hAnsi="Garamond"/>
          <w:i/>
          <w:iCs/>
          <w:sz w:val="24"/>
          <w:szCs w:val="24"/>
        </w:rPr>
        <w:t>Fiqh Muamalah</w:t>
      </w:r>
      <w:r w:rsidRPr="00050436">
        <w:rPr>
          <w:rFonts w:ascii="Garamond" w:hAnsi="Garamond"/>
          <w:sz w:val="24"/>
          <w:szCs w:val="24"/>
        </w:rPr>
        <w:t>, Yogyakarta: Sukses Offset.</w:t>
      </w:r>
    </w:p>
    <w:p w14:paraId="508869BE" w14:textId="77777777" w:rsidR="00743404" w:rsidRPr="00050436" w:rsidRDefault="00743404" w:rsidP="00E62A8A">
      <w:pPr>
        <w:pStyle w:val="FootnoteText"/>
        <w:spacing w:after="240" w:line="276" w:lineRule="auto"/>
        <w:ind w:left="709" w:hanging="709"/>
        <w:rPr>
          <w:rFonts w:ascii="Garamond" w:hAnsi="Garamond"/>
          <w:sz w:val="24"/>
          <w:szCs w:val="24"/>
        </w:rPr>
      </w:pPr>
      <w:r w:rsidRPr="00050436">
        <w:rPr>
          <w:rFonts w:ascii="Garamond" w:hAnsi="Garamond"/>
          <w:sz w:val="24"/>
          <w:szCs w:val="24"/>
        </w:rPr>
        <w:t xml:space="preserve">Rachmat Syafei. (2001). </w:t>
      </w:r>
      <w:r w:rsidRPr="00050436">
        <w:rPr>
          <w:rFonts w:ascii="Garamond" w:hAnsi="Garamond"/>
          <w:i/>
          <w:iCs/>
          <w:sz w:val="24"/>
          <w:szCs w:val="24"/>
        </w:rPr>
        <w:t>Fiqh Muamalah</w:t>
      </w:r>
      <w:r w:rsidRPr="00050436">
        <w:rPr>
          <w:rFonts w:ascii="Garamond" w:hAnsi="Garamond"/>
          <w:sz w:val="24"/>
          <w:szCs w:val="24"/>
        </w:rPr>
        <w:t>, Bandung: Pustaka Setia.</w:t>
      </w:r>
    </w:p>
    <w:p w14:paraId="1C4D6DC0"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Samsul Anwar. (2007). </w:t>
      </w:r>
      <w:r w:rsidRPr="00050436">
        <w:rPr>
          <w:rFonts w:ascii="Garamond" w:hAnsi="Garamond"/>
          <w:i/>
          <w:iCs/>
          <w:sz w:val="24"/>
          <w:szCs w:val="24"/>
        </w:rPr>
        <w:t>Hukum Perjanjian Syariah: Studi Tentang Teori Akad Dalam Fiqih Muamalat</w:t>
      </w:r>
      <w:r w:rsidRPr="00050436">
        <w:rPr>
          <w:rFonts w:ascii="Garamond" w:hAnsi="Garamond"/>
          <w:sz w:val="24"/>
          <w:szCs w:val="24"/>
        </w:rPr>
        <w:t>, Jakarta: Raja Grafindo Persada.</w:t>
      </w:r>
    </w:p>
    <w:p w14:paraId="61781C6A" w14:textId="77777777" w:rsidR="00743404" w:rsidRPr="00050436" w:rsidRDefault="00743404" w:rsidP="00E62A8A">
      <w:pPr>
        <w:pStyle w:val="Default"/>
        <w:spacing w:after="240" w:line="276" w:lineRule="auto"/>
        <w:ind w:left="709" w:hanging="709"/>
        <w:rPr>
          <w:rFonts w:cs="Times New Roman"/>
          <w:lang w:val="en-US"/>
        </w:rPr>
      </w:pPr>
      <w:r w:rsidRPr="00050436">
        <w:rPr>
          <w:rFonts w:cs="Times New Roman"/>
        </w:rPr>
        <w:t>Taqyuddin an-Nabhani</w:t>
      </w:r>
      <w:r w:rsidRPr="00050436">
        <w:rPr>
          <w:rFonts w:cs="Times New Roman"/>
          <w:lang w:val="en-US"/>
        </w:rPr>
        <w:t xml:space="preserve">. (1996). </w:t>
      </w:r>
      <w:r w:rsidRPr="00050436">
        <w:rPr>
          <w:rFonts w:cs="Times New Roman"/>
          <w:i/>
          <w:iCs/>
        </w:rPr>
        <w:t>Membangun Sistem Ekonomi Alternatif Perspektif Islam</w:t>
      </w:r>
      <w:r w:rsidRPr="00050436">
        <w:rPr>
          <w:rFonts w:cs="Times New Roman"/>
        </w:rPr>
        <w:t>, Surabaya: Risalah Gusti</w:t>
      </w:r>
      <w:r w:rsidRPr="00050436">
        <w:rPr>
          <w:rFonts w:cs="Times New Roman"/>
          <w:lang w:val="en-US"/>
        </w:rPr>
        <w:t>.</w:t>
      </w:r>
    </w:p>
    <w:p w14:paraId="57E6FB27" w14:textId="77777777" w:rsidR="00743404" w:rsidRPr="00050436" w:rsidRDefault="00743404" w:rsidP="00E62A8A">
      <w:pPr>
        <w:tabs>
          <w:tab w:val="left" w:pos="7702"/>
        </w:tabs>
        <w:spacing w:after="240" w:line="276" w:lineRule="auto"/>
        <w:ind w:left="709" w:hanging="709"/>
        <w:rPr>
          <w:rFonts w:ascii="Garamond" w:hAnsi="Garamond"/>
        </w:rPr>
      </w:pPr>
      <w:r w:rsidRPr="00050436">
        <w:rPr>
          <w:rFonts w:ascii="Garamond" w:hAnsi="Garamond"/>
        </w:rPr>
        <w:t xml:space="preserve">Viethzal Rivai Zainal dkk. (2014). </w:t>
      </w:r>
      <w:r w:rsidRPr="00050436">
        <w:rPr>
          <w:rFonts w:ascii="Garamond" w:hAnsi="Garamond"/>
          <w:i/>
          <w:iCs/>
        </w:rPr>
        <w:t>Islamic Human Capital Management</w:t>
      </w:r>
      <w:r w:rsidRPr="00050436">
        <w:rPr>
          <w:rFonts w:ascii="Garamond" w:hAnsi="Garamond"/>
        </w:rPr>
        <w:t>, Jakarta: PT Raja Grafindo Persada.</w:t>
      </w:r>
    </w:p>
    <w:p w14:paraId="533DEF8B" w14:textId="77777777" w:rsidR="00743404" w:rsidRPr="00050436" w:rsidRDefault="00743404" w:rsidP="00E62A8A">
      <w:pPr>
        <w:pStyle w:val="FootnoteText"/>
        <w:spacing w:after="240" w:line="276" w:lineRule="auto"/>
        <w:ind w:left="709" w:hanging="709"/>
        <w:jc w:val="both"/>
        <w:rPr>
          <w:rFonts w:ascii="Garamond" w:hAnsi="Garamond"/>
          <w:sz w:val="24"/>
          <w:szCs w:val="24"/>
        </w:rPr>
      </w:pPr>
      <w:r w:rsidRPr="00050436">
        <w:rPr>
          <w:rFonts w:ascii="Garamond" w:hAnsi="Garamond"/>
          <w:sz w:val="24"/>
          <w:szCs w:val="24"/>
        </w:rPr>
        <w:t xml:space="preserve">Wahbah Zuhaili. (2011). </w:t>
      </w:r>
      <w:r w:rsidRPr="00050436">
        <w:rPr>
          <w:rFonts w:ascii="Garamond" w:hAnsi="Garamond"/>
          <w:i/>
          <w:iCs/>
          <w:sz w:val="24"/>
          <w:szCs w:val="24"/>
        </w:rPr>
        <w:t>Al-Fiqh al-Islamiy wa Adillatuhu</w:t>
      </w:r>
      <w:r w:rsidRPr="00050436">
        <w:rPr>
          <w:rFonts w:ascii="Garamond" w:hAnsi="Garamond"/>
          <w:sz w:val="24"/>
          <w:szCs w:val="24"/>
        </w:rPr>
        <w:t>, Terj. Abdul Hayyie al-Kattani, Fiqih Islam, Jakarta: Gema Insani.</w:t>
      </w:r>
    </w:p>
    <w:p w14:paraId="0A1B8250" w14:textId="77777777" w:rsidR="00743404" w:rsidRPr="00050436" w:rsidRDefault="00743404" w:rsidP="00E62A8A">
      <w:pPr>
        <w:pStyle w:val="FootnoteText"/>
        <w:spacing w:after="240" w:line="276" w:lineRule="auto"/>
        <w:ind w:left="709" w:hanging="709"/>
        <w:rPr>
          <w:rFonts w:ascii="Garamond" w:hAnsi="Garamond"/>
          <w:sz w:val="24"/>
          <w:szCs w:val="24"/>
        </w:rPr>
      </w:pPr>
      <w:r w:rsidRPr="00050436">
        <w:rPr>
          <w:rFonts w:ascii="Garamond" w:hAnsi="Garamond"/>
          <w:sz w:val="24"/>
          <w:szCs w:val="24"/>
        </w:rPr>
        <w:lastRenderedPageBreak/>
        <w:t xml:space="preserve">Zainal Asikin. (1997). </w:t>
      </w:r>
      <w:r w:rsidRPr="00050436">
        <w:rPr>
          <w:rFonts w:ascii="Garamond" w:hAnsi="Garamond"/>
          <w:i/>
          <w:iCs/>
          <w:sz w:val="24"/>
          <w:szCs w:val="24"/>
        </w:rPr>
        <w:t>Dasar- Dasar Hukum Perburuan</w:t>
      </w:r>
      <w:r w:rsidRPr="00050436">
        <w:rPr>
          <w:rFonts w:ascii="Garamond" w:hAnsi="Garamond"/>
          <w:sz w:val="24"/>
          <w:szCs w:val="24"/>
        </w:rPr>
        <w:t>, Jakarta : PT. Raja Grafindo Persada.</w:t>
      </w:r>
    </w:p>
    <w:p w14:paraId="4D72587A" w14:textId="16246F50" w:rsidR="00007DF5" w:rsidRPr="00907BCE" w:rsidRDefault="00007DF5" w:rsidP="00E62A8A">
      <w:pPr>
        <w:spacing w:line="276" w:lineRule="auto"/>
        <w:jc w:val="both"/>
        <w:rPr>
          <w:rFonts w:ascii="Garamond" w:hAnsi="Garamond"/>
        </w:rPr>
      </w:pPr>
    </w:p>
    <w:p w14:paraId="3B378676" w14:textId="7FB6D272" w:rsidR="00147341" w:rsidRPr="00007DF5" w:rsidRDefault="00147341" w:rsidP="00E62A8A">
      <w:pPr>
        <w:spacing w:line="276" w:lineRule="auto"/>
      </w:pPr>
    </w:p>
    <w:sectPr w:rsidR="00147341" w:rsidRPr="00007DF5" w:rsidSect="00AE3AAC">
      <w:headerReference w:type="even" r:id="rId16"/>
      <w:headerReference w:type="default" r:id="rId17"/>
      <w:footerReference w:type="even" r:id="rId18"/>
      <w:footerReference w:type="default" r:id="rId19"/>
      <w:footerReference w:type="first" r:id="rId20"/>
      <w:pgSz w:w="10206" w:h="14175"/>
      <w:pgMar w:top="1440" w:right="1361" w:bottom="1440" w:left="1531" w:header="720" w:footer="720" w:gutter="0"/>
      <w:pgNumType w:start="2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7AE62" w14:textId="77777777" w:rsidR="00BE08E4" w:rsidRDefault="00BE08E4" w:rsidP="00747E6C">
      <w:r>
        <w:separator/>
      </w:r>
    </w:p>
  </w:endnote>
  <w:endnote w:type="continuationSeparator" w:id="0">
    <w:p w14:paraId="6677312C" w14:textId="77777777" w:rsidR="00BE08E4" w:rsidRDefault="00BE08E4" w:rsidP="0074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78"/>
      <w:docPartObj>
        <w:docPartGallery w:val="Page Numbers (Bottom of Page)"/>
        <w:docPartUnique/>
      </w:docPartObj>
    </w:sdtPr>
    <w:sdtEndPr/>
    <w:sdtContent>
      <w:p w14:paraId="39611520" w14:textId="5FB83EB8" w:rsidR="00173328" w:rsidRPr="00C7542E" w:rsidRDefault="006F619D" w:rsidP="006F619D">
        <w:pPr>
          <w:pStyle w:val="Footer"/>
          <w:jc w:val="right"/>
        </w:pPr>
        <w:r>
          <w:rPr>
            <w:rFonts w:ascii="Garamond" w:hAnsi="Garamond"/>
            <w:i/>
            <w:iCs/>
            <w:sz w:val="20"/>
            <w:szCs w:val="20"/>
          </w:rPr>
          <w:t>Vol.6</w:t>
        </w:r>
        <w:r w:rsidR="00055A5B">
          <w:rPr>
            <w:rFonts w:ascii="Garamond" w:hAnsi="Garamond"/>
            <w:i/>
            <w:iCs/>
            <w:sz w:val="20"/>
            <w:szCs w:val="20"/>
          </w:rPr>
          <w:t xml:space="preserve"> No.</w:t>
        </w:r>
        <w:r w:rsidR="00371698">
          <w:rPr>
            <w:rFonts w:ascii="Garamond" w:hAnsi="Garamond"/>
            <w:i/>
            <w:iCs/>
            <w:sz w:val="20"/>
            <w:szCs w:val="20"/>
          </w:rPr>
          <w:t xml:space="preserve"> </w:t>
        </w:r>
        <w:r w:rsidR="001E1E77">
          <w:rPr>
            <w:rFonts w:ascii="Garamond" w:hAnsi="Garamond"/>
            <w:i/>
            <w:iCs/>
            <w:sz w:val="20"/>
            <w:szCs w:val="20"/>
          </w:rPr>
          <w:t>2 Desember</w:t>
        </w:r>
        <w:r>
          <w:rPr>
            <w:rFonts w:ascii="Garamond" w:hAnsi="Garamond"/>
            <w:i/>
            <w:iCs/>
            <w:sz w:val="20"/>
            <w:szCs w:val="20"/>
          </w:rPr>
          <w:t xml:space="preserve"> 2020</w:t>
        </w:r>
        <w:r w:rsidR="00F73D56">
          <w:t xml:space="preserve"> </w:t>
        </w:r>
        <w:r w:rsidR="0030305A">
          <w:t xml:space="preserve"> | </w:t>
        </w:r>
        <w:r w:rsidR="000E09A1" w:rsidRPr="00F73D56">
          <w:rPr>
            <w:rFonts w:ascii="Garamond" w:hAnsi="Garamond"/>
          </w:rPr>
          <w:fldChar w:fldCharType="begin"/>
        </w:r>
        <w:r w:rsidR="0030305A" w:rsidRPr="00F73D56">
          <w:rPr>
            <w:rFonts w:ascii="Garamond" w:hAnsi="Garamond"/>
          </w:rPr>
          <w:instrText xml:space="preserve"> PAGE   \* MERGEFORMAT </w:instrText>
        </w:r>
        <w:r w:rsidR="000E09A1" w:rsidRPr="00F73D56">
          <w:rPr>
            <w:rFonts w:ascii="Garamond" w:hAnsi="Garamond"/>
          </w:rPr>
          <w:fldChar w:fldCharType="separate"/>
        </w:r>
        <w:r w:rsidR="00AE3AAC">
          <w:rPr>
            <w:rFonts w:ascii="Garamond" w:hAnsi="Garamond"/>
          </w:rPr>
          <w:t>250</w:t>
        </w:r>
        <w:r w:rsidR="000E09A1" w:rsidRPr="00F73D56">
          <w:rPr>
            <w:rFonts w:ascii="Garamond" w:hAnsi="Garamond"/>
          </w:rPr>
          <w:fldChar w:fldCharType="end"/>
        </w:r>
        <w:r w:rsidR="0030305A">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B6F06" w14:textId="77777777" w:rsidR="000E4F64" w:rsidRDefault="000E09A1" w:rsidP="0030305A">
    <w:pPr>
      <w:pStyle w:val="Footer"/>
    </w:pPr>
    <w:r w:rsidRPr="0030305A">
      <w:rPr>
        <w:rFonts w:ascii="Garamond" w:hAnsi="Garamond"/>
      </w:rPr>
      <w:fldChar w:fldCharType="begin"/>
    </w:r>
    <w:r w:rsidR="0030305A" w:rsidRPr="0030305A">
      <w:rPr>
        <w:rFonts w:ascii="Garamond" w:hAnsi="Garamond"/>
      </w:rPr>
      <w:instrText xml:space="preserve"> PAGE   \* MERGEFORMAT </w:instrText>
    </w:r>
    <w:r w:rsidRPr="0030305A">
      <w:rPr>
        <w:rFonts w:ascii="Garamond" w:hAnsi="Garamond"/>
      </w:rPr>
      <w:fldChar w:fldCharType="separate"/>
    </w:r>
    <w:r w:rsidR="00AE3AAC">
      <w:rPr>
        <w:rFonts w:ascii="Garamond" w:hAnsi="Garamond"/>
      </w:rPr>
      <w:t>251</w:t>
    </w:r>
    <w:r w:rsidRPr="0030305A">
      <w:rPr>
        <w:rFonts w:ascii="Garamond" w:hAnsi="Garamond"/>
      </w:rPr>
      <w:fldChar w:fldCharType="end"/>
    </w:r>
    <w:r w:rsidR="0030305A">
      <w:rPr>
        <w:b/>
      </w:rPr>
      <w:t xml:space="preserve"> </w:t>
    </w:r>
    <w:r w:rsidR="0030305A">
      <w:t>|</w:t>
    </w:r>
    <w:r w:rsidR="0030305A">
      <w:rPr>
        <w:b/>
      </w:rPr>
      <w:t xml:space="preserve"> </w:t>
    </w:r>
    <w:r w:rsidR="0030305A" w:rsidRPr="0030305A">
      <w:rPr>
        <w:rFonts w:ascii="Garamond" w:hAnsi="Garamond"/>
        <w:i/>
        <w:iCs/>
        <w:color w:val="7F7F7F" w:themeColor="background1" w:themeShade="7F"/>
        <w:sz w:val="20"/>
        <w:szCs w:val="20"/>
      </w:rPr>
      <w:t>‘U</w:t>
    </w:r>
    <w:r w:rsidR="0030305A">
      <w:rPr>
        <w:rFonts w:ascii="Garamond" w:hAnsi="Garamond"/>
        <w:i/>
        <w:iCs/>
        <w:color w:val="7F7F7F" w:themeColor="background1" w:themeShade="7F"/>
        <w:sz w:val="20"/>
        <w:szCs w:val="20"/>
      </w:rPr>
      <w:t>lû</w:t>
    </w:r>
    <w:r w:rsidR="0030305A" w:rsidRPr="0030305A">
      <w:rPr>
        <w:rFonts w:ascii="Garamond" w:hAnsi="Garamond"/>
        <w:i/>
        <w:iCs/>
        <w:color w:val="7F7F7F" w:themeColor="background1" w:themeShade="7F"/>
        <w:sz w:val="20"/>
        <w:szCs w:val="20"/>
      </w:rPr>
      <w:t>mu</w:t>
    </w:r>
    <w:r w:rsidR="0030305A">
      <w:rPr>
        <w:rFonts w:ascii="Garamond" w:hAnsi="Garamond"/>
        <w:i/>
        <w:iCs/>
        <w:color w:val="7F7F7F" w:themeColor="background1" w:themeShade="7F"/>
        <w:sz w:val="20"/>
        <w:szCs w:val="20"/>
      </w:rPr>
      <w:t>nâ</w:t>
    </w:r>
    <w:r w:rsidR="0030305A" w:rsidRPr="0030305A">
      <w:rPr>
        <w:rFonts w:ascii="Garamond" w:hAnsi="Garamond"/>
        <w:i/>
        <w:iCs/>
        <w:color w:val="7F7F7F" w:themeColor="background1" w:themeShade="7F"/>
        <w:sz w:val="20"/>
        <w:szCs w:val="20"/>
      </w:rPr>
      <w:t xml:space="preserve"> : Jurnal Studi Keislaman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D4B0B" w14:textId="74988B8F" w:rsidR="00E06463" w:rsidRPr="00D117FC" w:rsidRDefault="00F42EDB" w:rsidP="00E06463">
    <w:pPr>
      <w:pStyle w:val="Footer"/>
      <w:jc w:val="center"/>
      <w:rPr>
        <w:rFonts w:ascii="Garamond" w:hAnsi="Garamond"/>
        <w:i/>
        <w:iCs/>
        <w:sz w:val="20"/>
        <w:szCs w:val="20"/>
      </w:rPr>
    </w:pPr>
    <w:r>
      <w:rPr>
        <w:rFonts w:ascii="Garamond" w:hAnsi="Garamond"/>
        <w:i/>
        <w:iCs/>
        <w:sz w:val="20"/>
        <w:szCs w:val="20"/>
      </w:rPr>
      <w:t>Ulûmuna</w:t>
    </w:r>
    <w:r w:rsidR="00E06463" w:rsidRPr="00D117FC">
      <w:rPr>
        <w:rFonts w:ascii="Garamond" w:hAnsi="Garamond"/>
        <w:i/>
        <w:iCs/>
        <w:sz w:val="20"/>
        <w:szCs w:val="20"/>
      </w:rPr>
      <w:t>: Jurnal Studi Keislaman</w:t>
    </w:r>
  </w:p>
  <w:p w14:paraId="229F5845" w14:textId="089AF88A" w:rsidR="00F42EDB" w:rsidRDefault="00E06463" w:rsidP="009A17BF">
    <w:pPr>
      <w:pStyle w:val="Footer"/>
      <w:jc w:val="center"/>
      <w:rPr>
        <w:rFonts w:ascii="Garamond" w:hAnsi="Garamond"/>
        <w:i/>
        <w:iCs/>
        <w:sz w:val="20"/>
        <w:szCs w:val="20"/>
      </w:rPr>
    </w:pPr>
    <w:r w:rsidRPr="00D117FC">
      <w:rPr>
        <w:rFonts w:ascii="Garamond" w:hAnsi="Garamond"/>
        <w:i/>
        <w:iCs/>
        <w:sz w:val="20"/>
        <w:szCs w:val="20"/>
      </w:rPr>
      <w:t>Vol.</w:t>
    </w:r>
    <w:r w:rsidR="006F619D">
      <w:rPr>
        <w:rFonts w:ascii="Garamond" w:hAnsi="Garamond"/>
        <w:i/>
        <w:iCs/>
        <w:sz w:val="20"/>
        <w:szCs w:val="20"/>
      </w:rPr>
      <w:t>6</w:t>
    </w:r>
    <w:r w:rsidR="00716708">
      <w:rPr>
        <w:rFonts w:ascii="Garamond" w:hAnsi="Garamond"/>
        <w:i/>
        <w:iCs/>
        <w:sz w:val="20"/>
        <w:szCs w:val="20"/>
      </w:rPr>
      <w:t xml:space="preserve"> </w:t>
    </w:r>
    <w:r w:rsidRPr="00D117FC">
      <w:rPr>
        <w:rFonts w:ascii="Garamond" w:hAnsi="Garamond"/>
        <w:i/>
        <w:iCs/>
        <w:sz w:val="20"/>
        <w:szCs w:val="20"/>
      </w:rPr>
      <w:t>No.</w:t>
    </w:r>
    <w:r w:rsidR="001E1E77">
      <w:rPr>
        <w:rFonts w:ascii="Garamond" w:hAnsi="Garamond"/>
        <w:i/>
        <w:iCs/>
        <w:sz w:val="20"/>
        <w:szCs w:val="20"/>
      </w:rPr>
      <w:t>2</w:t>
    </w:r>
    <w:r w:rsidR="006F619D">
      <w:rPr>
        <w:rFonts w:ascii="Garamond" w:hAnsi="Garamond"/>
        <w:i/>
        <w:iCs/>
        <w:sz w:val="20"/>
        <w:szCs w:val="20"/>
      </w:rPr>
      <w:t xml:space="preserve"> </w:t>
    </w:r>
    <w:r w:rsidRPr="00D117FC">
      <w:rPr>
        <w:rFonts w:ascii="Garamond" w:hAnsi="Garamond"/>
        <w:i/>
        <w:iCs/>
        <w:sz w:val="20"/>
        <w:szCs w:val="20"/>
      </w:rPr>
      <w:t>:</w:t>
    </w:r>
    <w:r w:rsidR="001E1E77">
      <w:rPr>
        <w:rFonts w:ascii="Garamond" w:hAnsi="Garamond"/>
        <w:i/>
        <w:iCs/>
        <w:sz w:val="20"/>
        <w:szCs w:val="20"/>
      </w:rPr>
      <w:t xml:space="preserve"> Desember</w:t>
    </w:r>
    <w:r w:rsidR="006F619D">
      <w:rPr>
        <w:rFonts w:ascii="Garamond" w:hAnsi="Garamond"/>
        <w:i/>
        <w:iCs/>
        <w:sz w:val="20"/>
        <w:szCs w:val="20"/>
      </w:rPr>
      <w:t xml:space="preserve"> 2020</w:t>
    </w:r>
    <w:r w:rsidRPr="00D117FC">
      <w:rPr>
        <w:rFonts w:ascii="Garamond" w:hAnsi="Garamond"/>
        <w:i/>
        <w:iCs/>
        <w:sz w:val="20"/>
        <w:szCs w:val="20"/>
      </w:rPr>
      <w:t xml:space="preserve"> </w:t>
    </w:r>
  </w:p>
  <w:p w14:paraId="3EB88CC6" w14:textId="77777777" w:rsidR="00816EEB" w:rsidRDefault="00F42EDB" w:rsidP="00816EEB">
    <w:pPr>
      <w:pStyle w:val="Footer"/>
      <w:jc w:val="center"/>
      <w:rPr>
        <w:rFonts w:ascii="Garamond" w:hAnsi="Garamond"/>
        <w:i/>
        <w:iCs/>
        <w:sz w:val="20"/>
        <w:szCs w:val="20"/>
      </w:rPr>
    </w:pPr>
    <w:r>
      <w:rPr>
        <w:rFonts w:ascii="Garamond" w:hAnsi="Garamond"/>
        <w:i/>
        <w:iCs/>
        <w:sz w:val="20"/>
        <w:szCs w:val="20"/>
      </w:rPr>
      <w:t>P-</w:t>
    </w:r>
    <w:r w:rsidR="00E06463" w:rsidRPr="00D117FC">
      <w:rPr>
        <w:rFonts w:ascii="Garamond" w:hAnsi="Garamond"/>
        <w:i/>
        <w:iCs/>
        <w:sz w:val="20"/>
        <w:szCs w:val="20"/>
      </w:rPr>
      <w:t>ISSN 2442-8566</w:t>
    </w:r>
  </w:p>
  <w:p w14:paraId="7F32255C" w14:textId="48FD54F5" w:rsidR="00816EEB" w:rsidRPr="00816EEB" w:rsidRDefault="00816EEB" w:rsidP="00816EEB">
    <w:pPr>
      <w:pStyle w:val="Footer"/>
      <w:jc w:val="center"/>
      <w:rPr>
        <w:rFonts w:ascii="Garamond" w:hAnsi="Garamond"/>
        <w:i/>
        <w:iCs/>
        <w:sz w:val="20"/>
        <w:szCs w:val="20"/>
      </w:rPr>
    </w:pPr>
    <w:r>
      <w:rPr>
        <w:rFonts w:ascii="Garamond" w:hAnsi="Garamond"/>
        <w:i/>
        <w:iCs/>
        <w:sz w:val="20"/>
        <w:szCs w:val="20"/>
      </w:rPr>
      <w:t>E-ISSN 2685-9181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1B5D7" w14:textId="77777777" w:rsidR="00BE08E4" w:rsidRDefault="00BE08E4" w:rsidP="00747E6C">
      <w:r>
        <w:separator/>
      </w:r>
    </w:p>
  </w:footnote>
  <w:footnote w:type="continuationSeparator" w:id="0">
    <w:p w14:paraId="40C7DD00" w14:textId="77777777" w:rsidR="00BE08E4" w:rsidRDefault="00BE08E4" w:rsidP="00747E6C">
      <w:r>
        <w:continuationSeparator/>
      </w:r>
    </w:p>
  </w:footnote>
  <w:footnote w:id="1">
    <w:p w14:paraId="5AF8BC13" w14:textId="77777777" w:rsidR="00743404" w:rsidRPr="0022576D" w:rsidRDefault="00743404" w:rsidP="00743404">
      <w:pPr>
        <w:pStyle w:val="FootnoteText"/>
        <w:jc w:val="both"/>
        <w:rPr>
          <w:rFonts w:ascii="Garamond" w:hAnsi="Garamond"/>
          <w:lang w:val="id-ID"/>
        </w:rPr>
      </w:pPr>
      <w:r w:rsidRPr="0022576D">
        <w:rPr>
          <w:rStyle w:val="FootnoteReference"/>
          <w:rFonts w:ascii="Garamond" w:hAnsi="Garamond"/>
        </w:rPr>
        <w:footnoteRef/>
      </w:r>
      <w:r w:rsidRPr="0022576D">
        <w:rPr>
          <w:rFonts w:ascii="Garamond" w:hAnsi="Garamond"/>
        </w:rPr>
        <w:t xml:space="preserve"> </w:t>
      </w:r>
      <w:r w:rsidRPr="0022576D">
        <w:rPr>
          <w:rFonts w:ascii="Garamond" w:hAnsi="Garamond" w:cs="Arial"/>
          <w:color w:val="222222"/>
          <w:shd w:val="clear" w:color="auto" w:fill="FFFFFF"/>
        </w:rPr>
        <w:t>Muhtadi, R. (2017, August). ISLAMIC CONCEPTS AS EFFORT TO UTILIZE WASTELAND OF PUBLIC REVENUE DISTRIBUTION. In </w:t>
      </w:r>
      <w:r w:rsidRPr="0022576D">
        <w:rPr>
          <w:rFonts w:ascii="Garamond" w:hAnsi="Garamond" w:cs="Arial"/>
          <w:i/>
          <w:iCs/>
          <w:color w:val="222222"/>
          <w:shd w:val="clear" w:color="auto" w:fill="FFFFFF"/>
        </w:rPr>
        <w:t>1st International Conference Postgraduate School Universitas Airlangga:" Implementation of Climate Change Agreement to Meet Sustainable Development Goals"(ICPSUAS 2017)</w:t>
      </w:r>
      <w:r w:rsidRPr="0022576D">
        <w:rPr>
          <w:rFonts w:ascii="Garamond" w:hAnsi="Garamond" w:cs="Arial"/>
          <w:color w:val="222222"/>
          <w:shd w:val="clear" w:color="auto" w:fill="FFFFFF"/>
        </w:rPr>
        <w:t>. Atlantis Press.</w:t>
      </w:r>
    </w:p>
  </w:footnote>
  <w:footnote w:id="2">
    <w:p w14:paraId="135404E3" w14:textId="77777777" w:rsidR="00743404" w:rsidRPr="00CB2D5C" w:rsidRDefault="00743404" w:rsidP="00743404">
      <w:pPr>
        <w:pStyle w:val="FootnoteText"/>
        <w:jc w:val="both"/>
        <w:rPr>
          <w:rFonts w:ascii="Garamond" w:hAnsi="Garamond"/>
          <w:lang w:val="id-ID"/>
        </w:rPr>
      </w:pPr>
      <w:r w:rsidRPr="00CB2D5C">
        <w:rPr>
          <w:rStyle w:val="FootnoteReference"/>
          <w:rFonts w:ascii="Garamond" w:hAnsi="Garamond"/>
        </w:rPr>
        <w:footnoteRef/>
      </w:r>
      <w:r w:rsidRPr="00CB2D5C">
        <w:rPr>
          <w:rFonts w:ascii="Garamond" w:hAnsi="Garamond"/>
        </w:rPr>
        <w:t xml:space="preserve"> </w:t>
      </w:r>
      <w:r w:rsidRPr="00CB2D5C">
        <w:rPr>
          <w:rFonts w:ascii="Garamond" w:hAnsi="Garamond" w:cs="Segoe UI"/>
        </w:rPr>
        <w:t>Kambali, M. (2015, December 11). KRITIK EKONOMI ISLAM TERHADAP MEKANISME DISTRIBUSI PENDAPATAN DALAM SISTEM EKONOMI KAPITALIS. </w:t>
      </w:r>
      <w:r w:rsidRPr="00CB2D5C">
        <w:rPr>
          <w:rFonts w:ascii="Garamond" w:hAnsi="Garamond" w:cs="Segoe UI"/>
          <w:i/>
          <w:iCs/>
        </w:rPr>
        <w:t>Ulumuna: Jurnal Studi Keislaman</w:t>
      </w:r>
      <w:r w:rsidRPr="00CB2D5C">
        <w:rPr>
          <w:rFonts w:ascii="Garamond" w:hAnsi="Garamond" w:cs="Segoe UI"/>
        </w:rPr>
        <w:t>, </w:t>
      </w:r>
      <w:r w:rsidRPr="00CB2D5C">
        <w:rPr>
          <w:rFonts w:ascii="Garamond" w:hAnsi="Garamond" w:cs="Segoe UI"/>
          <w:i/>
          <w:iCs/>
        </w:rPr>
        <w:t>1</w:t>
      </w:r>
      <w:r w:rsidRPr="00CB2D5C">
        <w:rPr>
          <w:rFonts w:ascii="Garamond" w:hAnsi="Garamond" w:cs="Segoe UI"/>
        </w:rPr>
        <w:t>(2).</w:t>
      </w:r>
    </w:p>
  </w:footnote>
  <w:footnote w:id="3">
    <w:p w14:paraId="194C4618" w14:textId="77777777" w:rsidR="00743404" w:rsidRPr="00670DA2" w:rsidRDefault="00743404" w:rsidP="00743404">
      <w:pPr>
        <w:pStyle w:val="FootnoteText"/>
        <w:rPr>
          <w:rFonts w:ascii="Garamond" w:hAnsi="Garamond"/>
          <w:lang w:val="id-ID"/>
        </w:rPr>
      </w:pPr>
      <w:r w:rsidRPr="00050436">
        <w:rPr>
          <w:rStyle w:val="FootnoteReference"/>
          <w:rFonts w:ascii="Garamond" w:hAnsi="Garamond"/>
        </w:rPr>
        <w:footnoteRef/>
      </w:r>
      <w:r w:rsidRPr="00050436">
        <w:rPr>
          <w:rFonts w:ascii="Garamond" w:hAnsi="Garamond"/>
        </w:rPr>
        <w:t xml:space="preserve"> Suhendi, H. (2016 (cet.10)). </w:t>
      </w:r>
      <w:r w:rsidRPr="00050436">
        <w:rPr>
          <w:rFonts w:ascii="Garamond" w:hAnsi="Garamond"/>
          <w:i/>
          <w:iCs/>
        </w:rPr>
        <w:t>Fiqh Muamalah.</w:t>
      </w:r>
      <w:r w:rsidRPr="00050436">
        <w:rPr>
          <w:rFonts w:ascii="Garamond" w:hAnsi="Garamond"/>
        </w:rPr>
        <w:t xml:space="preserve"> Jakarta: PT RajaGrafindo Persada. hal.153</w:t>
      </w:r>
    </w:p>
  </w:footnote>
  <w:footnote w:id="4">
    <w:p w14:paraId="1E29C117"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w:t>
      </w:r>
      <w:r w:rsidRPr="00050436">
        <w:rPr>
          <w:rFonts w:ascii="Garamond" w:hAnsi="Garamond"/>
        </w:rPr>
        <w:fldChar w:fldCharType="begin"/>
      </w:r>
      <w:r w:rsidRPr="00050436">
        <w:rPr>
          <w:rFonts w:ascii="Garamond" w:hAnsi="Garamond"/>
        </w:rPr>
        <w:instrText xml:space="preserve"> BIBLIOGRAPHY  \l 1033 </w:instrText>
      </w:r>
      <w:r w:rsidRPr="00050436">
        <w:rPr>
          <w:rFonts w:ascii="Garamond" w:hAnsi="Garamond"/>
        </w:rPr>
        <w:fldChar w:fldCharType="separate"/>
      </w:r>
      <w:r w:rsidRPr="00050436">
        <w:rPr>
          <w:rFonts w:ascii="Garamond" w:hAnsi="Garamond"/>
        </w:rPr>
        <w:t xml:space="preserve">Antonio, M. S. (2001). </w:t>
      </w:r>
      <w:r w:rsidRPr="00050436">
        <w:rPr>
          <w:rFonts w:ascii="Garamond" w:hAnsi="Garamond"/>
          <w:i/>
          <w:iCs/>
        </w:rPr>
        <w:t>Bank Syariah Dari Teori Ke Praktik.</w:t>
      </w:r>
      <w:r w:rsidRPr="00050436">
        <w:rPr>
          <w:rFonts w:ascii="Garamond" w:hAnsi="Garamond"/>
        </w:rPr>
        <w:t xml:space="preserve"> Depok: Gema Insani Press. hal 99</w:t>
      </w:r>
      <w:r w:rsidRPr="00050436">
        <w:rPr>
          <w:rFonts w:ascii="Garamond" w:hAnsi="Garamond"/>
        </w:rPr>
        <w:fldChar w:fldCharType="end"/>
      </w:r>
    </w:p>
  </w:footnote>
  <w:footnote w:id="5">
    <w:p w14:paraId="42E155F0"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Suhendi, H. (2016 (cet.10)). </w:t>
      </w:r>
      <w:r w:rsidRPr="00050436">
        <w:rPr>
          <w:rFonts w:ascii="Garamond" w:hAnsi="Garamond"/>
          <w:i/>
          <w:iCs/>
        </w:rPr>
        <w:t>Fiqh Muamalah.</w:t>
      </w:r>
      <w:r w:rsidRPr="00050436">
        <w:rPr>
          <w:rFonts w:ascii="Garamond" w:hAnsi="Garamond"/>
        </w:rPr>
        <w:t xml:space="preserve"> Jakarta: PT RajaGrafindo Persada. hal. 156</w:t>
      </w:r>
    </w:p>
  </w:footnote>
  <w:footnote w:id="6">
    <w:p w14:paraId="59AAB612" w14:textId="77777777" w:rsidR="00743404" w:rsidRPr="00F82456" w:rsidRDefault="00743404" w:rsidP="00743404">
      <w:pPr>
        <w:pStyle w:val="FootnoteText"/>
        <w:rPr>
          <w:rFonts w:ascii="Garamond" w:hAnsi="Garamond"/>
          <w:lang w:val="id-ID"/>
        </w:rPr>
      </w:pPr>
      <w:r w:rsidRPr="00050436">
        <w:rPr>
          <w:rStyle w:val="FootnoteReference"/>
          <w:rFonts w:ascii="Garamond" w:hAnsi="Garamond"/>
        </w:rPr>
        <w:footnoteRef/>
      </w:r>
      <w:r w:rsidRPr="00050436">
        <w:rPr>
          <w:rFonts w:ascii="Garamond" w:hAnsi="Garamond"/>
        </w:rPr>
        <w:t xml:space="preserve"> Mardani. (2012). </w:t>
      </w:r>
      <w:r w:rsidRPr="00050436">
        <w:rPr>
          <w:rFonts w:ascii="Garamond" w:hAnsi="Garamond"/>
          <w:i/>
          <w:iCs/>
        </w:rPr>
        <w:t>Fiqh Ekonomi Syariah.</w:t>
      </w:r>
      <w:r w:rsidRPr="00050436">
        <w:rPr>
          <w:rFonts w:ascii="Garamond" w:hAnsi="Garamond"/>
        </w:rPr>
        <w:t xml:space="preserve"> Jakarta: Prenadamedia Group. hal. 238</w:t>
      </w:r>
      <w:r>
        <w:rPr>
          <w:rFonts w:ascii="Garamond" w:hAnsi="Garamond"/>
          <w:lang w:val="id-ID"/>
        </w:rPr>
        <w:t xml:space="preserve"> </w:t>
      </w:r>
    </w:p>
  </w:footnote>
  <w:footnote w:id="7">
    <w:p w14:paraId="0517C13C"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w:t>
      </w:r>
      <w:r w:rsidRPr="00050436">
        <w:rPr>
          <w:rFonts w:ascii="Garamond" w:hAnsi="Garamond"/>
        </w:rPr>
        <w:fldChar w:fldCharType="begin"/>
      </w:r>
      <w:r w:rsidRPr="00050436">
        <w:rPr>
          <w:rFonts w:ascii="Garamond" w:hAnsi="Garamond"/>
        </w:rPr>
        <w:instrText xml:space="preserve"> BIBLIOGRAPHY  \l 1033 </w:instrText>
      </w:r>
      <w:r w:rsidRPr="00050436">
        <w:rPr>
          <w:rFonts w:ascii="Garamond" w:hAnsi="Garamond"/>
        </w:rPr>
        <w:fldChar w:fldCharType="separate"/>
      </w:r>
      <w:r w:rsidRPr="00050436">
        <w:rPr>
          <w:rFonts w:ascii="Garamond" w:hAnsi="Garamond"/>
        </w:rPr>
        <w:t xml:space="preserve">Suhendi, H. (2016 (cet.10)). </w:t>
      </w:r>
      <w:r w:rsidRPr="00050436">
        <w:rPr>
          <w:rFonts w:ascii="Garamond" w:hAnsi="Garamond"/>
          <w:i/>
          <w:iCs/>
        </w:rPr>
        <w:t>Fiqh Muamalah.</w:t>
      </w:r>
      <w:r w:rsidRPr="00050436">
        <w:rPr>
          <w:rFonts w:ascii="Garamond" w:hAnsi="Garamond"/>
        </w:rPr>
        <w:t xml:space="preserve"> Jakarta: PT RajaGrafindo Persada.</w:t>
      </w:r>
    </w:p>
    <w:p w14:paraId="7B5CD576" w14:textId="77777777" w:rsidR="00743404" w:rsidRPr="00050436" w:rsidRDefault="00743404" w:rsidP="00743404">
      <w:pPr>
        <w:pStyle w:val="FootnoteText"/>
        <w:rPr>
          <w:rFonts w:ascii="Garamond" w:hAnsi="Garamond"/>
        </w:rPr>
      </w:pPr>
      <w:r w:rsidRPr="00050436">
        <w:rPr>
          <w:rFonts w:ascii="Garamond" w:hAnsi="Garamond"/>
        </w:rPr>
        <w:fldChar w:fldCharType="end"/>
      </w:r>
    </w:p>
  </w:footnote>
  <w:footnote w:id="8">
    <w:p w14:paraId="337618B0"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Hendi Suhendi, </w:t>
      </w:r>
      <w:r w:rsidRPr="00050436">
        <w:rPr>
          <w:rFonts w:ascii="Garamond" w:hAnsi="Garamond"/>
          <w:i/>
          <w:iCs/>
        </w:rPr>
        <w:t>Fiqih Muamalah</w:t>
      </w:r>
      <w:r w:rsidRPr="00050436">
        <w:rPr>
          <w:rFonts w:ascii="Garamond" w:hAnsi="Garamond"/>
        </w:rPr>
        <w:t>, (Jakarta: PT. Raja Grafindo Persada,2014), hlm, 113.</w:t>
      </w:r>
    </w:p>
  </w:footnote>
  <w:footnote w:id="9">
    <w:p w14:paraId="549DE57D" w14:textId="77777777" w:rsidR="00743404" w:rsidRPr="00050436" w:rsidRDefault="00743404" w:rsidP="00743404">
      <w:pPr>
        <w:pStyle w:val="Default"/>
        <w:jc w:val="both"/>
        <w:rPr>
          <w:rFonts w:cs="Times New Roman"/>
          <w:sz w:val="20"/>
          <w:szCs w:val="20"/>
        </w:rPr>
      </w:pPr>
      <w:r w:rsidRPr="00050436">
        <w:rPr>
          <w:rStyle w:val="FootnoteReference"/>
          <w:rFonts w:cs="Times New Roman"/>
          <w:sz w:val="20"/>
          <w:szCs w:val="20"/>
        </w:rPr>
        <w:footnoteRef/>
      </w:r>
      <w:r w:rsidRPr="00050436">
        <w:rPr>
          <w:rFonts w:cs="Times New Roman"/>
          <w:sz w:val="20"/>
          <w:szCs w:val="20"/>
        </w:rPr>
        <w:t xml:space="preserve"> </w:t>
      </w:r>
      <w:r w:rsidRPr="00050436">
        <w:rPr>
          <w:rFonts w:cs="Times New Roman"/>
          <w:sz w:val="20"/>
          <w:szCs w:val="20"/>
        </w:rPr>
        <w:t xml:space="preserve">Helmi Karim, </w:t>
      </w:r>
      <w:r w:rsidRPr="00050436">
        <w:rPr>
          <w:rFonts w:cs="Times New Roman"/>
          <w:i/>
          <w:iCs/>
          <w:sz w:val="20"/>
          <w:szCs w:val="20"/>
        </w:rPr>
        <w:t>Fiqh Mu'amalah</w:t>
      </w:r>
      <w:r w:rsidRPr="00050436">
        <w:rPr>
          <w:rFonts w:cs="Times New Roman"/>
          <w:sz w:val="20"/>
          <w:szCs w:val="20"/>
        </w:rPr>
        <w:t>, (Jakarta : Rajawali Pers, 1997), 29</w:t>
      </w:r>
    </w:p>
  </w:footnote>
  <w:footnote w:id="10">
    <w:p w14:paraId="4879C62D"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Abdul Rahman Ghazaly, Ghufron Ihsan , dan  Sapiudin Shidiq, </w:t>
      </w:r>
      <w:r w:rsidRPr="00050436">
        <w:rPr>
          <w:rFonts w:ascii="Garamond" w:hAnsi="Garamond"/>
          <w:i/>
          <w:iCs/>
        </w:rPr>
        <w:t>Fiqih Muamalat</w:t>
      </w:r>
      <w:r w:rsidRPr="00050436">
        <w:rPr>
          <w:rFonts w:ascii="Garamond" w:hAnsi="Garamond"/>
        </w:rPr>
        <w:t xml:space="preserve"> ( Jakarta: Kencana Prenada Media group,2010 ), hlm, 277.  </w:t>
      </w:r>
    </w:p>
  </w:footnote>
  <w:footnote w:id="11">
    <w:p w14:paraId="02B4770E"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w:t>
      </w:r>
      <w:r w:rsidRPr="00050436">
        <w:rPr>
          <w:rFonts w:ascii="Garamond" w:hAnsi="Garamond"/>
          <w:i/>
          <w:iCs/>
        </w:rPr>
        <w:t>Ibid</w:t>
      </w:r>
      <w:r w:rsidRPr="00050436">
        <w:rPr>
          <w:rFonts w:ascii="Garamond" w:hAnsi="Garamond"/>
        </w:rPr>
        <w:t>,hlm,277.</w:t>
      </w:r>
    </w:p>
  </w:footnote>
  <w:footnote w:id="12">
    <w:p w14:paraId="60480B3B"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Hendi Suhendi, Op.cit,hlm. 114.</w:t>
      </w:r>
    </w:p>
  </w:footnote>
  <w:footnote w:id="13">
    <w:p w14:paraId="46E3CAA6" w14:textId="77777777" w:rsidR="00743404" w:rsidRPr="00050436" w:rsidRDefault="00743404" w:rsidP="00743404">
      <w:pPr>
        <w:pStyle w:val="Default"/>
        <w:rPr>
          <w:rFonts w:cs="Times New Roman"/>
          <w:sz w:val="20"/>
          <w:szCs w:val="20"/>
        </w:rPr>
      </w:pPr>
      <w:r w:rsidRPr="00050436">
        <w:rPr>
          <w:rStyle w:val="FootnoteReference"/>
          <w:sz w:val="20"/>
          <w:szCs w:val="20"/>
        </w:rPr>
        <w:footnoteRef/>
      </w:r>
      <w:r w:rsidRPr="00050436">
        <w:rPr>
          <w:sz w:val="20"/>
          <w:szCs w:val="20"/>
        </w:rPr>
        <w:t xml:space="preserve"> </w:t>
      </w:r>
      <w:r w:rsidRPr="00050436">
        <w:rPr>
          <w:rFonts w:cs="Times New Roman"/>
          <w:sz w:val="20"/>
          <w:szCs w:val="20"/>
        </w:rPr>
        <w:t xml:space="preserve">Departemen pendidikan, </w:t>
      </w:r>
      <w:r w:rsidRPr="00050436">
        <w:rPr>
          <w:rFonts w:cs="Times New Roman"/>
          <w:i/>
          <w:iCs/>
          <w:sz w:val="20"/>
          <w:szCs w:val="20"/>
        </w:rPr>
        <w:t>Kamus Besar Bahasa Indonesia</w:t>
      </w:r>
      <w:r w:rsidRPr="00050436">
        <w:rPr>
          <w:rFonts w:cs="Times New Roman"/>
          <w:sz w:val="20"/>
          <w:szCs w:val="20"/>
        </w:rPr>
        <w:t>, ( Jakarta : Balai Pustaka, 2000),  hlm 1108</w:t>
      </w:r>
    </w:p>
  </w:footnote>
  <w:footnote w:id="14">
    <w:p w14:paraId="2BE22895"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Zainal Asikin, </w:t>
      </w:r>
      <w:r w:rsidRPr="00050436">
        <w:rPr>
          <w:rFonts w:ascii="Garamond" w:hAnsi="Garamond"/>
          <w:i/>
          <w:iCs/>
        </w:rPr>
        <w:t>Dasar- Dasar Hukum Perburuan</w:t>
      </w:r>
      <w:r w:rsidRPr="00050436">
        <w:rPr>
          <w:rFonts w:ascii="Garamond" w:hAnsi="Garamond"/>
        </w:rPr>
        <w:t>, (Jakarta : PT. Raja Grafindo Persada, 1997), hlm 68</w:t>
      </w:r>
    </w:p>
  </w:footnote>
  <w:footnote w:id="15">
    <w:p w14:paraId="1E3BB3A6"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Hendi Suhendi, Op.cit,hlm. 115.</w:t>
      </w:r>
    </w:p>
  </w:footnote>
  <w:footnote w:id="16">
    <w:p w14:paraId="7367A0C6" w14:textId="77777777" w:rsidR="00743404" w:rsidRPr="00050436" w:rsidRDefault="00743404" w:rsidP="00743404">
      <w:pPr>
        <w:jc w:val="both"/>
        <w:rPr>
          <w:rFonts w:ascii="Garamond" w:hAnsi="Garamond"/>
          <w:sz w:val="20"/>
          <w:szCs w:val="20"/>
        </w:rPr>
      </w:pPr>
      <w:r w:rsidRPr="00050436">
        <w:rPr>
          <w:rStyle w:val="FootnoteReference"/>
          <w:rFonts w:ascii="Garamond" w:hAnsi="Garamond"/>
          <w:sz w:val="20"/>
          <w:szCs w:val="20"/>
        </w:rPr>
        <w:footnoteRef/>
      </w:r>
      <w:r w:rsidRPr="00050436">
        <w:rPr>
          <w:rFonts w:ascii="Garamond" w:hAnsi="Garamond"/>
          <w:sz w:val="20"/>
          <w:szCs w:val="20"/>
        </w:rPr>
        <w:t xml:space="preserve"> Abdul Rahman Ghazaly, dkk., Op.cit, hlm. 141.</w:t>
      </w:r>
    </w:p>
  </w:footnote>
  <w:footnote w:id="17">
    <w:p w14:paraId="698FB1FB"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Departemen Agama RI, </w:t>
      </w:r>
      <w:r w:rsidRPr="00050436">
        <w:rPr>
          <w:rFonts w:ascii="Garamond" w:hAnsi="Garamond"/>
          <w:i/>
          <w:iCs/>
        </w:rPr>
        <w:t>Al-Qur’an dan Terjemahnya</w:t>
      </w:r>
      <w:r w:rsidRPr="00050436">
        <w:rPr>
          <w:rFonts w:ascii="Garamond" w:hAnsi="Garamond"/>
        </w:rPr>
        <w:t>, (Surabaya : Mahkota, 1990 ), hlm 706</w:t>
      </w:r>
    </w:p>
  </w:footnote>
  <w:footnote w:id="18">
    <w:p w14:paraId="48ABD34F"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M. Quraish Shihab, </w:t>
      </w:r>
      <w:r w:rsidRPr="00050436">
        <w:rPr>
          <w:rFonts w:ascii="Garamond" w:hAnsi="Garamond"/>
          <w:i/>
          <w:iCs/>
        </w:rPr>
        <w:t>Tafsir al-Mishbah, Pesan Kesan dan Keserasian al-Qur’an</w:t>
      </w:r>
      <w:r w:rsidRPr="00050436">
        <w:rPr>
          <w:rFonts w:ascii="Garamond" w:hAnsi="Garamond"/>
        </w:rPr>
        <w:t>, Vol. 12, (Ciputat : Lentera Hati, 2000), hlm 561</w:t>
      </w:r>
    </w:p>
  </w:footnote>
  <w:footnote w:id="19">
    <w:p w14:paraId="02D65179"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Al-Bukhari, </w:t>
      </w:r>
      <w:r w:rsidRPr="00050436">
        <w:rPr>
          <w:rFonts w:ascii="Garamond" w:hAnsi="Garamond"/>
          <w:i/>
          <w:iCs/>
        </w:rPr>
        <w:t>Sahih al-Bukhari</w:t>
      </w:r>
      <w:r w:rsidRPr="00050436">
        <w:rPr>
          <w:rFonts w:ascii="Garamond" w:hAnsi="Garamond"/>
        </w:rPr>
        <w:t>, juz II, (Bandung : Pustaka Setia, 2004), hlm 50</w:t>
      </w:r>
    </w:p>
  </w:footnote>
  <w:footnote w:id="20">
    <w:p w14:paraId="73004547"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Al-Qazwini Abi Muhammad ibn Yazid, </w:t>
      </w:r>
      <w:r w:rsidRPr="00050436">
        <w:rPr>
          <w:rFonts w:ascii="Garamond" w:hAnsi="Garamond"/>
          <w:i/>
          <w:iCs/>
        </w:rPr>
        <w:t>Sunan Ibn Majah</w:t>
      </w:r>
      <w:r w:rsidRPr="00050436">
        <w:rPr>
          <w:rFonts w:ascii="Garamond" w:hAnsi="Garamond"/>
        </w:rPr>
        <w:t>, juz II, (Beirut: Dar al-Ahya al- Kutub al-Arabiyyah, t.t., 2008), hlm 20</w:t>
      </w:r>
    </w:p>
  </w:footnote>
  <w:footnote w:id="21">
    <w:p w14:paraId="6C6EA915"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Muhammad Al Albani</w:t>
      </w:r>
      <w:r w:rsidRPr="00050436">
        <w:rPr>
          <w:rFonts w:ascii="Garamond" w:hAnsi="Garamond"/>
          <w:i/>
          <w:iCs/>
        </w:rPr>
        <w:t>, Shahih Sunan Ibnu Majah</w:t>
      </w:r>
      <w:r w:rsidRPr="00050436">
        <w:rPr>
          <w:rFonts w:ascii="Garamond" w:hAnsi="Garamond"/>
        </w:rPr>
        <w:t>, (Jakarta: Pustaka Azzam, 2007), hlm 303</w:t>
      </w:r>
    </w:p>
  </w:footnote>
  <w:footnote w:id="22">
    <w:p w14:paraId="6C5977F2"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Samsul Anwar, </w:t>
      </w:r>
      <w:r w:rsidRPr="00050436">
        <w:rPr>
          <w:rFonts w:ascii="Garamond" w:hAnsi="Garamond"/>
          <w:i/>
          <w:iCs/>
        </w:rPr>
        <w:t>Hukum Perjanjian Syariah: Studi Tentang Teori Akad Dalam Fiqih Muamalat</w:t>
      </w:r>
      <w:r w:rsidRPr="00050436">
        <w:rPr>
          <w:rFonts w:ascii="Garamond" w:hAnsi="Garamond"/>
        </w:rPr>
        <w:t>, (Jakarta: Raja Grafindo Persada, 2007), hlm 95</w:t>
      </w:r>
    </w:p>
  </w:footnote>
  <w:footnote w:id="23">
    <w:p w14:paraId="3F5B7FB7"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Qomarul Huda, </w:t>
      </w:r>
      <w:r w:rsidRPr="00050436">
        <w:rPr>
          <w:rFonts w:ascii="Garamond" w:hAnsi="Garamond"/>
          <w:i/>
          <w:iCs/>
        </w:rPr>
        <w:t>fiqh muamalah</w:t>
      </w:r>
      <w:r w:rsidRPr="00050436">
        <w:rPr>
          <w:rFonts w:ascii="Garamond" w:hAnsi="Garamond"/>
        </w:rPr>
        <w:t>, (Yogyakarta: sukses offset, 2011), hlm.80.</w:t>
      </w:r>
    </w:p>
  </w:footnote>
  <w:footnote w:id="24">
    <w:p w14:paraId="343F729D"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Hendi Suhendi, Op.cit,hlm. 117.</w:t>
      </w:r>
    </w:p>
  </w:footnote>
  <w:footnote w:id="25">
    <w:p w14:paraId="011CB06E"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Moh. Saifullah Al aziz S, </w:t>
      </w:r>
      <w:r w:rsidRPr="00050436">
        <w:rPr>
          <w:rFonts w:ascii="Garamond" w:hAnsi="Garamond"/>
          <w:i/>
          <w:iCs/>
        </w:rPr>
        <w:t>Fiqih Islam Lengkap</w:t>
      </w:r>
      <w:r w:rsidRPr="00050436">
        <w:rPr>
          <w:rFonts w:ascii="Garamond" w:hAnsi="Garamond"/>
        </w:rPr>
        <w:t>, (Surabaya: Terang Surabaya, 2005), hlm 378</w:t>
      </w:r>
    </w:p>
  </w:footnote>
  <w:footnote w:id="26">
    <w:p w14:paraId="44A912B3"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Chairuman Pasaribu dan Suhrawardi K. Lubis, </w:t>
      </w:r>
      <w:r w:rsidRPr="00050436">
        <w:rPr>
          <w:rFonts w:ascii="Garamond" w:hAnsi="Garamond"/>
          <w:i/>
          <w:iCs/>
        </w:rPr>
        <w:t>Hukum Perjanjian dalam Islam</w:t>
      </w:r>
      <w:r w:rsidRPr="00050436">
        <w:rPr>
          <w:rFonts w:ascii="Garamond" w:hAnsi="Garamond"/>
        </w:rPr>
        <w:t>, (Jakarta: Sinar Grafika, 1994), hlm 157</w:t>
      </w:r>
    </w:p>
  </w:footnote>
  <w:footnote w:id="27">
    <w:p w14:paraId="253F3359"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M. Arkal Salim, </w:t>
      </w:r>
      <w:r w:rsidRPr="00050436">
        <w:rPr>
          <w:rFonts w:ascii="Garamond" w:hAnsi="Garamond"/>
          <w:i/>
          <w:iCs/>
        </w:rPr>
        <w:t>Etika Investasi Negara: Perspektif Etika Politik Ibnu Taimiyah</w:t>
      </w:r>
      <w:r w:rsidRPr="00050436">
        <w:rPr>
          <w:rFonts w:ascii="Garamond" w:hAnsi="Garamond"/>
        </w:rPr>
        <w:t>, (Jakarta: Logos,1999), hlm 99-100</w:t>
      </w:r>
    </w:p>
  </w:footnote>
  <w:footnote w:id="28">
    <w:p w14:paraId="04A1A5DE"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Ghufran A. Mas’adi, </w:t>
      </w:r>
      <w:r w:rsidRPr="00050436">
        <w:rPr>
          <w:rFonts w:ascii="Garamond" w:hAnsi="Garamond"/>
          <w:i/>
          <w:iCs/>
        </w:rPr>
        <w:t>Fiqh Muamalah Konstektual</w:t>
      </w:r>
      <w:r w:rsidRPr="00050436">
        <w:rPr>
          <w:rFonts w:ascii="Garamond" w:hAnsi="Garamond"/>
        </w:rPr>
        <w:t>, (Jakarta: PT. Raja Grafindo Persada, 2002), hlm 186</w:t>
      </w:r>
    </w:p>
  </w:footnote>
  <w:footnote w:id="29">
    <w:p w14:paraId="4864E288"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Ali Hasan , </w:t>
      </w:r>
      <w:r w:rsidRPr="00050436">
        <w:rPr>
          <w:rFonts w:ascii="Garamond" w:hAnsi="Garamond"/>
          <w:i/>
          <w:iCs/>
        </w:rPr>
        <w:t>Berbagai macam transaksi Dalam Islam: Fiqh Muamalat</w:t>
      </w:r>
      <w:r w:rsidRPr="00050436">
        <w:rPr>
          <w:rFonts w:ascii="Garamond" w:hAnsi="Garamond"/>
        </w:rPr>
        <w:t>, (Semarang: Asy- Syifa’, 1990), hlm 231</w:t>
      </w:r>
    </w:p>
  </w:footnote>
  <w:footnote w:id="30">
    <w:p w14:paraId="61534DAD"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Wahbah Zuhaili, </w:t>
      </w:r>
      <w:r w:rsidRPr="00050436">
        <w:rPr>
          <w:rFonts w:ascii="Garamond" w:hAnsi="Garamond"/>
          <w:i/>
          <w:iCs/>
        </w:rPr>
        <w:t>al-Fiqh al-Islamiy wa Adillatuhu</w:t>
      </w:r>
      <w:r w:rsidRPr="00050436">
        <w:rPr>
          <w:rFonts w:ascii="Garamond" w:hAnsi="Garamond"/>
        </w:rPr>
        <w:t>, Terj. Abdul Hayyie al-Kattani, Fiqih Islam, (Jakarta: Gema Insani, Cet. I, 2011), 391</w:t>
      </w:r>
    </w:p>
  </w:footnote>
  <w:footnote w:id="31">
    <w:p w14:paraId="53D7D09F" w14:textId="77777777" w:rsidR="00743404" w:rsidRPr="00050436" w:rsidRDefault="00743404" w:rsidP="00743404">
      <w:pPr>
        <w:pStyle w:val="FootnoteText"/>
        <w:rPr>
          <w:rFonts w:ascii="Garamond" w:hAnsi="Garamond"/>
        </w:rPr>
      </w:pPr>
      <w:r w:rsidRPr="00050436">
        <w:rPr>
          <w:rStyle w:val="FootnoteReference"/>
          <w:rFonts w:ascii="Garamond" w:hAnsi="Garamond"/>
        </w:rPr>
        <w:footnoteRef/>
      </w:r>
      <w:r w:rsidRPr="00050436">
        <w:rPr>
          <w:rFonts w:ascii="Garamond" w:hAnsi="Garamond"/>
        </w:rPr>
        <w:t xml:space="preserve"> Rachmat Syafei, </w:t>
      </w:r>
      <w:r w:rsidRPr="00050436">
        <w:rPr>
          <w:rFonts w:ascii="Garamond" w:hAnsi="Garamond"/>
          <w:i/>
          <w:iCs/>
        </w:rPr>
        <w:t>Fiqh Muamalah</w:t>
      </w:r>
      <w:r w:rsidRPr="00050436">
        <w:rPr>
          <w:rFonts w:ascii="Garamond" w:hAnsi="Garamond"/>
        </w:rPr>
        <w:t>, (Bandung: Pustaka Setia, 2001), hlm 129</w:t>
      </w:r>
    </w:p>
  </w:footnote>
  <w:footnote w:id="32">
    <w:p w14:paraId="196B3762" w14:textId="77777777" w:rsidR="00743404" w:rsidRPr="00050436" w:rsidRDefault="00743404" w:rsidP="00743404">
      <w:pPr>
        <w:jc w:val="both"/>
        <w:rPr>
          <w:rFonts w:ascii="Garamond" w:hAnsi="Garamond"/>
          <w:sz w:val="20"/>
          <w:szCs w:val="20"/>
        </w:rPr>
      </w:pPr>
      <w:r w:rsidRPr="00050436">
        <w:rPr>
          <w:rStyle w:val="FootnoteReference"/>
          <w:rFonts w:ascii="Garamond" w:hAnsi="Garamond"/>
          <w:sz w:val="20"/>
          <w:szCs w:val="20"/>
        </w:rPr>
        <w:footnoteRef/>
      </w:r>
      <w:r w:rsidRPr="00050436">
        <w:rPr>
          <w:rFonts w:ascii="Garamond" w:hAnsi="Garamond"/>
          <w:sz w:val="20"/>
          <w:szCs w:val="20"/>
        </w:rPr>
        <w:t xml:space="preserve"> Abdul Aziz Muhammad Azzam, </w:t>
      </w:r>
      <w:r w:rsidRPr="00050436">
        <w:rPr>
          <w:rFonts w:ascii="Garamond" w:hAnsi="Garamond"/>
          <w:i/>
          <w:iCs/>
          <w:sz w:val="20"/>
          <w:szCs w:val="20"/>
        </w:rPr>
        <w:t>Fiqih Muamalat</w:t>
      </w:r>
      <w:r w:rsidRPr="00050436">
        <w:rPr>
          <w:rFonts w:ascii="Garamond" w:hAnsi="Garamond"/>
          <w:sz w:val="20"/>
          <w:szCs w:val="20"/>
        </w:rPr>
        <w:t>, (Jakarta: Amzah, 2010), Cet.1, hlm. 334-336.</w:t>
      </w:r>
    </w:p>
  </w:footnote>
  <w:footnote w:id="33">
    <w:p w14:paraId="4138795A" w14:textId="77777777" w:rsidR="00743404" w:rsidRPr="00A11AEC" w:rsidRDefault="00743404" w:rsidP="00743404">
      <w:pPr>
        <w:pStyle w:val="FootnoteText"/>
        <w:jc w:val="both"/>
        <w:rPr>
          <w:rFonts w:ascii="Garamond" w:hAnsi="Garamond"/>
        </w:rPr>
      </w:pPr>
      <w:r w:rsidRPr="00A11AEC">
        <w:rPr>
          <w:rStyle w:val="FootnoteReference"/>
          <w:rFonts w:ascii="Garamond" w:hAnsi="Garamond"/>
        </w:rPr>
        <w:footnoteRef/>
      </w:r>
      <w:r w:rsidRPr="00A11AEC">
        <w:rPr>
          <w:rFonts w:ascii="Garamond" w:hAnsi="Garamond"/>
        </w:rPr>
        <w:t xml:space="preserve"> </w:t>
      </w:r>
      <w:r w:rsidRPr="004B1365">
        <w:rPr>
          <w:rFonts w:ascii="Garamond" w:hAnsi="Garamond" w:cs="Arial"/>
          <w:color w:val="222222"/>
          <w:shd w:val="clear" w:color="auto" w:fill="FFFFFF"/>
        </w:rPr>
        <w:t>Mansur, R. M., &amp; Kamali, M. (2020). HOW DOES PATTERN RELATIONSHIP BETWEEN OPERATIONAL BUSINESS SYSTEMS WITH DRIVER BEHAVIOR? ISLAMIC ECONOMIC REVIEW. In </w:t>
      </w:r>
      <w:r w:rsidRPr="004B1365">
        <w:rPr>
          <w:rFonts w:ascii="Garamond" w:hAnsi="Garamond" w:cs="Arial"/>
          <w:i/>
          <w:iCs/>
          <w:color w:val="222222"/>
          <w:shd w:val="clear" w:color="auto" w:fill="FFFFFF"/>
        </w:rPr>
        <w:t>1st International Conference on Morality (InCoMora)</w:t>
      </w:r>
      <w:r w:rsidRPr="004B1365">
        <w:rPr>
          <w:rFonts w:ascii="Garamond" w:hAnsi="Garamond" w:cs="Arial"/>
          <w:color w:val="222222"/>
          <w:shd w:val="clear" w:color="auto" w:fill="FFFFFF"/>
        </w:rPr>
        <w:t> (No. 1, pp. 311-320).</w:t>
      </w:r>
    </w:p>
  </w:footnote>
  <w:footnote w:id="34">
    <w:p w14:paraId="2E9447DD"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M. Arskal Salim, </w:t>
      </w:r>
      <w:r w:rsidRPr="00050436">
        <w:rPr>
          <w:rFonts w:ascii="Garamond" w:hAnsi="Garamond"/>
          <w:i/>
          <w:iCs/>
        </w:rPr>
        <w:t>Etika Intervensi Negara: Perspektif Etika Politik Ibnu Taimiyah</w:t>
      </w:r>
      <w:r w:rsidRPr="00050436">
        <w:rPr>
          <w:rFonts w:ascii="Garamond" w:hAnsi="Garamond"/>
        </w:rPr>
        <w:t>, (Jakarta: Logos, 1999), hlm 99-100</w:t>
      </w:r>
    </w:p>
  </w:footnote>
  <w:footnote w:id="35">
    <w:p w14:paraId="0995BEC8" w14:textId="77777777" w:rsidR="00743404" w:rsidRPr="00050436" w:rsidRDefault="00743404" w:rsidP="00743404">
      <w:pPr>
        <w:pStyle w:val="Default"/>
        <w:rPr>
          <w:rFonts w:cs="Times New Roman"/>
          <w:sz w:val="20"/>
          <w:szCs w:val="20"/>
        </w:rPr>
      </w:pPr>
      <w:r w:rsidRPr="00050436">
        <w:rPr>
          <w:rStyle w:val="FootnoteReference"/>
          <w:sz w:val="20"/>
          <w:szCs w:val="20"/>
        </w:rPr>
        <w:footnoteRef/>
      </w:r>
      <w:r w:rsidRPr="00050436">
        <w:rPr>
          <w:rFonts w:cs="Times New Roman"/>
          <w:sz w:val="20"/>
          <w:szCs w:val="20"/>
        </w:rPr>
        <w:t xml:space="preserve"> </w:t>
      </w:r>
      <w:r w:rsidRPr="00050436">
        <w:rPr>
          <w:rFonts w:cs="Times New Roman"/>
          <w:sz w:val="20"/>
          <w:szCs w:val="20"/>
        </w:rPr>
        <w:t xml:space="preserve">Taqyuddin an-Nabhani, </w:t>
      </w:r>
      <w:r w:rsidRPr="00050436">
        <w:rPr>
          <w:rFonts w:cs="Times New Roman"/>
          <w:i/>
          <w:iCs/>
          <w:sz w:val="20"/>
          <w:szCs w:val="20"/>
        </w:rPr>
        <w:t>Membangun Sistem Ekonomi Alternatif Perspektif Islam</w:t>
      </w:r>
      <w:r w:rsidRPr="00050436">
        <w:rPr>
          <w:rFonts w:cs="Times New Roman"/>
          <w:sz w:val="20"/>
          <w:szCs w:val="20"/>
        </w:rPr>
        <w:t>, (Surabaya: Risalah Gusti, 1996), hlm 103</w:t>
      </w:r>
    </w:p>
  </w:footnote>
  <w:footnote w:id="36">
    <w:p w14:paraId="50C4BBCC" w14:textId="77777777" w:rsidR="00743404" w:rsidRPr="00050436" w:rsidRDefault="00743404" w:rsidP="00743404">
      <w:pPr>
        <w:pStyle w:val="FootnoteText"/>
        <w:jc w:val="both"/>
        <w:rPr>
          <w:rFonts w:ascii="Garamond" w:hAnsi="Garamond"/>
        </w:rPr>
      </w:pPr>
      <w:r w:rsidRPr="00050436">
        <w:rPr>
          <w:rStyle w:val="FootnoteReference"/>
          <w:rFonts w:ascii="Garamond" w:hAnsi="Garamond"/>
        </w:rPr>
        <w:footnoteRef/>
      </w:r>
      <w:r w:rsidRPr="00050436">
        <w:rPr>
          <w:rFonts w:ascii="Garamond" w:hAnsi="Garamond"/>
        </w:rPr>
        <w:t xml:space="preserve"> Viethzal Rivai Zainal dkk, </w:t>
      </w:r>
      <w:r w:rsidRPr="00050436">
        <w:rPr>
          <w:rFonts w:ascii="Garamond" w:hAnsi="Garamond"/>
          <w:i/>
          <w:iCs/>
        </w:rPr>
        <w:t>Islamic Human Capital Management</w:t>
      </w:r>
      <w:r w:rsidRPr="00050436">
        <w:rPr>
          <w:rFonts w:ascii="Garamond" w:hAnsi="Garamond"/>
        </w:rPr>
        <w:t>, (Jakarta: PT Raja Grafindo Persada, 2014), Hlm. 569.</w:t>
      </w:r>
    </w:p>
  </w:footnote>
  <w:footnote w:id="37">
    <w:p w14:paraId="26656358" w14:textId="77777777" w:rsidR="00743404" w:rsidRPr="0022576D" w:rsidRDefault="00743404" w:rsidP="00743404">
      <w:pPr>
        <w:pStyle w:val="FootnoteText"/>
        <w:jc w:val="both"/>
        <w:rPr>
          <w:rFonts w:ascii="Garamond" w:hAnsi="Garamond"/>
          <w:lang w:val="id-ID"/>
        </w:rPr>
      </w:pPr>
      <w:r w:rsidRPr="0022576D">
        <w:rPr>
          <w:rStyle w:val="FootnoteReference"/>
          <w:rFonts w:ascii="Garamond" w:hAnsi="Garamond"/>
        </w:rPr>
        <w:footnoteRef/>
      </w:r>
      <w:r w:rsidRPr="0022576D">
        <w:rPr>
          <w:rFonts w:ascii="Garamond" w:hAnsi="Garamond"/>
        </w:rPr>
        <w:t xml:space="preserve"> </w:t>
      </w:r>
      <w:r w:rsidRPr="0022576D">
        <w:rPr>
          <w:rFonts w:ascii="Garamond" w:hAnsi="Garamond" w:cs="Arial"/>
          <w:color w:val="222222"/>
          <w:shd w:val="clear" w:color="auto" w:fill="FFFFFF"/>
        </w:rPr>
        <w:t>Imani, S., &amp; Almas, B. (2020). ANALISIS KEBIJAKAN FISKAL EKSPANSIF PADA APBN DI INDONESIA PERSPEKTIF EKONOMI ISLAM. </w:t>
      </w:r>
      <w:r w:rsidRPr="0022576D">
        <w:rPr>
          <w:rFonts w:ascii="Garamond" w:hAnsi="Garamond" w:cs="Arial"/>
          <w:i/>
          <w:iCs/>
          <w:color w:val="222222"/>
          <w:shd w:val="clear" w:color="auto" w:fill="FFFFFF"/>
        </w:rPr>
        <w:t>FreakonomicS: Journal of Islamic Economics and Finance</w:t>
      </w:r>
      <w:r w:rsidRPr="0022576D">
        <w:rPr>
          <w:rFonts w:ascii="Garamond" w:hAnsi="Garamond" w:cs="Arial"/>
          <w:color w:val="222222"/>
          <w:shd w:val="clear" w:color="auto" w:fill="FFFFFF"/>
        </w:rPr>
        <w:t>, </w:t>
      </w:r>
      <w:r w:rsidRPr="0022576D">
        <w:rPr>
          <w:rFonts w:ascii="Garamond" w:hAnsi="Garamond" w:cs="Arial"/>
          <w:i/>
          <w:iCs/>
          <w:color w:val="222222"/>
          <w:shd w:val="clear" w:color="auto" w:fill="FFFFFF"/>
        </w:rPr>
        <w:t>1</w:t>
      </w:r>
      <w:r w:rsidRPr="0022576D">
        <w:rPr>
          <w:rFonts w:ascii="Garamond" w:hAnsi="Garamond" w:cs="Arial"/>
          <w:color w:val="222222"/>
          <w:shd w:val="clear" w:color="auto" w:fill="FFFFFF"/>
        </w:rPr>
        <w:t>(1), 56-66.</w:t>
      </w:r>
    </w:p>
  </w:footnote>
  <w:footnote w:id="38">
    <w:p w14:paraId="1AA0DF78" w14:textId="77777777" w:rsidR="00743404" w:rsidRPr="004C53F8" w:rsidRDefault="00743404" w:rsidP="00743404">
      <w:pPr>
        <w:pStyle w:val="FootnoteText"/>
        <w:jc w:val="both"/>
        <w:rPr>
          <w:rFonts w:ascii="Garamond" w:hAnsi="Garamond"/>
          <w:lang w:val="id-ID"/>
        </w:rPr>
      </w:pPr>
      <w:r w:rsidRPr="004C53F8">
        <w:rPr>
          <w:rStyle w:val="FootnoteReference"/>
          <w:rFonts w:ascii="Garamond" w:hAnsi="Garamond"/>
        </w:rPr>
        <w:footnoteRef/>
      </w:r>
      <w:r w:rsidRPr="004C53F8">
        <w:rPr>
          <w:rFonts w:ascii="Garamond" w:hAnsi="Garamond"/>
        </w:rPr>
        <w:t xml:space="preserve"> </w:t>
      </w:r>
      <w:r w:rsidRPr="004C53F8">
        <w:rPr>
          <w:rFonts w:ascii="Garamond" w:hAnsi="Garamond" w:cs="Arial"/>
          <w:color w:val="222222"/>
          <w:shd w:val="clear" w:color="auto" w:fill="FFFFFF"/>
        </w:rPr>
        <w:t>Muhtadi, R., Wirmanda, A. Y., &amp; Premananto, G. C. (2019). MODEL EDUKASI DAN PERLINDUNGAN KONSUMEN BERBASIS MAQASHID SYARIAH PADA JAMINAN SOSIAL. </w:t>
      </w:r>
      <w:r w:rsidRPr="004C53F8">
        <w:rPr>
          <w:rFonts w:ascii="Garamond" w:hAnsi="Garamond" w:cs="Arial"/>
          <w:i/>
          <w:iCs/>
          <w:color w:val="222222"/>
          <w:shd w:val="clear" w:color="auto" w:fill="FFFFFF"/>
        </w:rPr>
        <w:t>Ulumuna: Jurnal Studi Keislaman</w:t>
      </w:r>
      <w:r w:rsidRPr="004C53F8">
        <w:rPr>
          <w:rFonts w:ascii="Garamond" w:hAnsi="Garamond" w:cs="Arial"/>
          <w:color w:val="222222"/>
          <w:shd w:val="clear" w:color="auto" w:fill="FFFFFF"/>
        </w:rPr>
        <w:t>, </w:t>
      </w:r>
      <w:r w:rsidRPr="004C53F8">
        <w:rPr>
          <w:rFonts w:ascii="Garamond" w:hAnsi="Garamond" w:cs="Arial"/>
          <w:i/>
          <w:iCs/>
          <w:color w:val="222222"/>
          <w:shd w:val="clear" w:color="auto" w:fill="FFFFFF"/>
        </w:rPr>
        <w:t>5</w:t>
      </w:r>
      <w:r w:rsidRPr="004C53F8">
        <w:rPr>
          <w:rFonts w:ascii="Garamond" w:hAnsi="Garamond" w:cs="Arial"/>
          <w:color w:val="222222"/>
          <w:shd w:val="clear" w:color="auto" w:fill="FFFFFF"/>
        </w:rPr>
        <w:t>(1), 53-77.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8DBAA" w14:textId="7241CDF3" w:rsidR="00173328" w:rsidRPr="008938E5" w:rsidRDefault="008938E5" w:rsidP="008938E5">
    <w:pPr>
      <w:pStyle w:val="Header"/>
      <w:jc w:val="right"/>
      <w:rPr>
        <w:bCs/>
        <w:i/>
        <w:iCs/>
      </w:rPr>
    </w:pPr>
    <w:r w:rsidRPr="008938E5">
      <w:rPr>
        <w:rFonts w:ascii="Garamond" w:hAnsi="Garamond"/>
        <w:bCs/>
        <w:i/>
        <w:iCs/>
      </w:rPr>
      <w:t>The Agricultural Cooperation Contract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7B99D" w14:textId="77777777" w:rsidR="008938E5" w:rsidRPr="008938E5" w:rsidRDefault="008938E5" w:rsidP="008938E5">
    <w:pPr>
      <w:spacing w:line="276" w:lineRule="auto"/>
      <w:rPr>
        <w:rFonts w:ascii="Garamond" w:hAnsi="Garamond"/>
        <w:i/>
        <w:iCs/>
      </w:rPr>
    </w:pPr>
  </w:p>
  <w:p w14:paraId="37406D8B" w14:textId="119C015C" w:rsidR="000E4F64" w:rsidRPr="008938E5" w:rsidRDefault="008938E5" w:rsidP="008938E5">
    <w:pPr>
      <w:spacing w:line="276" w:lineRule="auto"/>
      <w:rPr>
        <w:rFonts w:ascii="Garamond" w:hAnsi="Garamond"/>
        <w:i/>
        <w:iCs/>
      </w:rPr>
    </w:pPr>
    <w:r w:rsidRPr="008938E5">
      <w:rPr>
        <w:rFonts w:ascii="Garamond" w:hAnsi="Garamond"/>
        <w:i/>
        <w:iCs/>
      </w:rPr>
      <w:t xml:space="preserve">Abdul ghoni, ridan muhtadi, </w:t>
    </w:r>
    <w:r w:rsidRPr="008938E5">
      <w:rPr>
        <w:rFonts w:ascii="Garamond" w:hAnsi="Garamond" w:cs="Garamond"/>
        <w:i/>
        <w:iCs/>
        <w:color w:val="000000"/>
        <w:lang w:eastAsia="id-ID"/>
      </w:rPr>
      <w:t>moh. Fudholi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53FE"/>
    <w:multiLevelType w:val="hybridMultilevel"/>
    <w:tmpl w:val="1EA02A8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3869E3"/>
    <w:multiLevelType w:val="hybridMultilevel"/>
    <w:tmpl w:val="52A28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E5BB2"/>
    <w:multiLevelType w:val="hybridMultilevel"/>
    <w:tmpl w:val="85E2B998"/>
    <w:lvl w:ilvl="0" w:tplc="77F68EC2">
      <w:start w:val="1"/>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9E93E54"/>
    <w:multiLevelType w:val="hybridMultilevel"/>
    <w:tmpl w:val="0CFA4A68"/>
    <w:lvl w:ilvl="0" w:tplc="77F68E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0C67588"/>
    <w:multiLevelType w:val="hybridMultilevel"/>
    <w:tmpl w:val="95207F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922ADB"/>
    <w:multiLevelType w:val="hybridMultilevel"/>
    <w:tmpl w:val="2D1A8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72676"/>
    <w:multiLevelType w:val="hybridMultilevel"/>
    <w:tmpl w:val="08DACE2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861899"/>
    <w:multiLevelType w:val="hybridMultilevel"/>
    <w:tmpl w:val="39FCC8EE"/>
    <w:lvl w:ilvl="0" w:tplc="9FA6243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E6C7379"/>
    <w:multiLevelType w:val="hybridMultilevel"/>
    <w:tmpl w:val="62C6CA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362496F"/>
    <w:multiLevelType w:val="hybridMultilevel"/>
    <w:tmpl w:val="198088E6"/>
    <w:lvl w:ilvl="0" w:tplc="609EEDE6">
      <w:start w:val="1"/>
      <w:numFmt w:val="decimal"/>
      <w:lvlText w:val="%1."/>
      <w:lvlJc w:val="left"/>
      <w:pPr>
        <w:ind w:left="1080" w:hanging="360"/>
      </w:pPr>
      <w:rPr>
        <w:rFonts w:hint="default"/>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87E4BFA"/>
    <w:multiLevelType w:val="hybridMultilevel"/>
    <w:tmpl w:val="ADF63ADA"/>
    <w:lvl w:ilvl="0" w:tplc="4D5E7624">
      <w:start w:val="1"/>
      <w:numFmt w:val="decimal"/>
      <w:lvlText w:val="%1."/>
      <w:lvlJc w:val="left"/>
      <w:pPr>
        <w:ind w:left="720" w:hanging="360"/>
      </w:pPr>
      <w:rPr>
        <w:rFonts w:asciiTheme="minorHAnsi" w:hAnsiTheme="minorHAnsi" w:cstheme="minorBidi" w:hint="default"/>
        <w:b w:val="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CD2F2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9E17353"/>
    <w:multiLevelType w:val="hybridMultilevel"/>
    <w:tmpl w:val="FF18E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91157"/>
    <w:multiLevelType w:val="hybridMultilevel"/>
    <w:tmpl w:val="6CCC5D76"/>
    <w:lvl w:ilvl="0" w:tplc="77F68E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0F879C5"/>
    <w:multiLevelType w:val="hybridMultilevel"/>
    <w:tmpl w:val="B1EA12C4"/>
    <w:lvl w:ilvl="0" w:tplc="68A4C1C6">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AD7A0">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5E6CEE">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C2692">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C369A">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88DC2">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64718">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AE798">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054A">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1875C25"/>
    <w:multiLevelType w:val="hybridMultilevel"/>
    <w:tmpl w:val="2A3819CA"/>
    <w:lvl w:ilvl="0" w:tplc="8F82FF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CE91E6F"/>
    <w:multiLevelType w:val="hybridMultilevel"/>
    <w:tmpl w:val="CA6A02B4"/>
    <w:lvl w:ilvl="0" w:tplc="1F44C1F2">
      <w:start w:val="1"/>
      <w:numFmt w:val="lowerLetter"/>
      <w:lvlText w:val="%1."/>
      <w:lvlJc w:val="left"/>
      <w:pPr>
        <w:ind w:left="1080" w:hanging="360"/>
      </w:pPr>
      <w:rPr>
        <w:rFonts w:ascii="Garamond" w:eastAsiaTheme="minorHAnsi" w:hAnsi="Garamond"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EE37309"/>
    <w:multiLevelType w:val="hybridMultilevel"/>
    <w:tmpl w:val="AAFE86DA"/>
    <w:lvl w:ilvl="0" w:tplc="74D6D986">
      <w:start w:val="1"/>
      <w:numFmt w:val="lowerLetter"/>
      <w:lvlText w:val="%1."/>
      <w:lvlJc w:val="right"/>
      <w:pPr>
        <w:ind w:left="1004" w:hanging="360"/>
      </w:pPr>
      <w:rPr>
        <w:rFonts w:cs="Times New Roman" w:hint="default"/>
      </w:rPr>
    </w:lvl>
    <w:lvl w:ilvl="1" w:tplc="C01A31FC">
      <w:start w:val="1"/>
      <w:numFmt w:val="decimal"/>
      <w:lvlText w:val="%2."/>
      <w:lvlJc w:val="left"/>
      <w:pPr>
        <w:ind w:left="1724" w:hanging="360"/>
      </w:pPr>
      <w:rPr>
        <w:rFonts w:cs="Times New Roman" w:hint="default"/>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8">
    <w:nsid w:val="62ED6FA0"/>
    <w:multiLevelType w:val="hybridMultilevel"/>
    <w:tmpl w:val="966E8ECC"/>
    <w:lvl w:ilvl="0" w:tplc="BA2466C2">
      <w:start w:val="1"/>
      <w:numFmt w:val="decimal"/>
      <w:lvlText w:val="%1."/>
      <w:lvlJc w:val="left"/>
      <w:pPr>
        <w:ind w:left="786" w:hanging="360"/>
      </w:pPr>
      <w:rPr>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4101228"/>
    <w:multiLevelType w:val="hybridMultilevel"/>
    <w:tmpl w:val="EA66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A57B3"/>
    <w:multiLevelType w:val="hybridMultilevel"/>
    <w:tmpl w:val="5DDE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1766E"/>
    <w:multiLevelType w:val="multilevel"/>
    <w:tmpl w:val="59801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625197"/>
    <w:multiLevelType w:val="hybridMultilevel"/>
    <w:tmpl w:val="98E868B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nsid w:val="7A2B2237"/>
    <w:multiLevelType w:val="hybridMultilevel"/>
    <w:tmpl w:val="97C621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1"/>
  </w:num>
  <w:num w:numId="2">
    <w:abstractNumId w:val="0"/>
  </w:num>
  <w:num w:numId="3">
    <w:abstractNumId w:val="10"/>
  </w:num>
  <w:num w:numId="4">
    <w:abstractNumId w:val="18"/>
  </w:num>
  <w:num w:numId="5">
    <w:abstractNumId w:val="7"/>
  </w:num>
  <w:num w:numId="6">
    <w:abstractNumId w:val="21"/>
  </w:num>
  <w:num w:numId="7">
    <w:abstractNumId w:val="22"/>
  </w:num>
  <w:num w:numId="8">
    <w:abstractNumId w:val="14"/>
  </w:num>
  <w:num w:numId="9">
    <w:abstractNumId w:val="5"/>
  </w:num>
  <w:num w:numId="10">
    <w:abstractNumId w:val="20"/>
  </w:num>
  <w:num w:numId="11">
    <w:abstractNumId w:val="12"/>
  </w:num>
  <w:num w:numId="12">
    <w:abstractNumId w:val="17"/>
  </w:num>
  <w:num w:numId="13">
    <w:abstractNumId w:val="1"/>
  </w:num>
  <w:num w:numId="14">
    <w:abstractNumId w:val="19"/>
  </w:num>
  <w:num w:numId="15">
    <w:abstractNumId w:val="15"/>
  </w:num>
  <w:num w:numId="16">
    <w:abstractNumId w:val="9"/>
  </w:num>
  <w:num w:numId="17">
    <w:abstractNumId w:val="3"/>
  </w:num>
  <w:num w:numId="18">
    <w:abstractNumId w:val="2"/>
  </w:num>
  <w:num w:numId="19">
    <w:abstractNumId w:val="4"/>
  </w:num>
  <w:num w:numId="20">
    <w:abstractNumId w:val="13"/>
  </w:num>
  <w:num w:numId="21">
    <w:abstractNumId w:val="23"/>
  </w:num>
  <w:num w:numId="22">
    <w:abstractNumId w:val="8"/>
  </w:num>
  <w:num w:numId="23">
    <w:abstractNumId w:val="16"/>
  </w:num>
  <w:num w:numId="2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6C"/>
    <w:rsid w:val="00003017"/>
    <w:rsid w:val="00003F50"/>
    <w:rsid w:val="00007DF5"/>
    <w:rsid w:val="00012087"/>
    <w:rsid w:val="000126AF"/>
    <w:rsid w:val="000159AA"/>
    <w:rsid w:val="00021F6C"/>
    <w:rsid w:val="0002258E"/>
    <w:rsid w:val="00023010"/>
    <w:rsid w:val="00023B51"/>
    <w:rsid w:val="00023F9D"/>
    <w:rsid w:val="00025068"/>
    <w:rsid w:val="00025C4C"/>
    <w:rsid w:val="00027E41"/>
    <w:rsid w:val="0003009D"/>
    <w:rsid w:val="000373B4"/>
    <w:rsid w:val="00040C94"/>
    <w:rsid w:val="00041488"/>
    <w:rsid w:val="00041727"/>
    <w:rsid w:val="00044C81"/>
    <w:rsid w:val="00045284"/>
    <w:rsid w:val="000469D4"/>
    <w:rsid w:val="00047114"/>
    <w:rsid w:val="000502D8"/>
    <w:rsid w:val="00051656"/>
    <w:rsid w:val="000518E1"/>
    <w:rsid w:val="00052E7F"/>
    <w:rsid w:val="0005474F"/>
    <w:rsid w:val="00054F4D"/>
    <w:rsid w:val="00055A5B"/>
    <w:rsid w:val="00061333"/>
    <w:rsid w:val="00064954"/>
    <w:rsid w:val="00065214"/>
    <w:rsid w:val="000714CF"/>
    <w:rsid w:val="00071B19"/>
    <w:rsid w:val="00071D8B"/>
    <w:rsid w:val="00071FB2"/>
    <w:rsid w:val="00073DA7"/>
    <w:rsid w:val="00074392"/>
    <w:rsid w:val="000768EC"/>
    <w:rsid w:val="00077163"/>
    <w:rsid w:val="0008333D"/>
    <w:rsid w:val="00083FD4"/>
    <w:rsid w:val="000844F0"/>
    <w:rsid w:val="00084D17"/>
    <w:rsid w:val="00084EB4"/>
    <w:rsid w:val="000862F5"/>
    <w:rsid w:val="00091C4A"/>
    <w:rsid w:val="0009328A"/>
    <w:rsid w:val="000935BD"/>
    <w:rsid w:val="00093909"/>
    <w:rsid w:val="000A3B19"/>
    <w:rsid w:val="000A539F"/>
    <w:rsid w:val="000B276C"/>
    <w:rsid w:val="000B2ACD"/>
    <w:rsid w:val="000B3BE1"/>
    <w:rsid w:val="000B3CE6"/>
    <w:rsid w:val="000B44F2"/>
    <w:rsid w:val="000B4B26"/>
    <w:rsid w:val="000B7322"/>
    <w:rsid w:val="000C3379"/>
    <w:rsid w:val="000C3833"/>
    <w:rsid w:val="000C3C2D"/>
    <w:rsid w:val="000C4010"/>
    <w:rsid w:val="000C4EBA"/>
    <w:rsid w:val="000C6A0F"/>
    <w:rsid w:val="000C77B4"/>
    <w:rsid w:val="000C77D1"/>
    <w:rsid w:val="000D6A35"/>
    <w:rsid w:val="000E09A1"/>
    <w:rsid w:val="000E12B9"/>
    <w:rsid w:val="000E31CA"/>
    <w:rsid w:val="000E3459"/>
    <w:rsid w:val="000E391F"/>
    <w:rsid w:val="000E4789"/>
    <w:rsid w:val="000E4833"/>
    <w:rsid w:val="000E4F64"/>
    <w:rsid w:val="000E631B"/>
    <w:rsid w:val="000E72F7"/>
    <w:rsid w:val="000F6047"/>
    <w:rsid w:val="00100548"/>
    <w:rsid w:val="00101FCA"/>
    <w:rsid w:val="0010325D"/>
    <w:rsid w:val="00103F70"/>
    <w:rsid w:val="00105C8C"/>
    <w:rsid w:val="00114B83"/>
    <w:rsid w:val="001179E5"/>
    <w:rsid w:val="001207E3"/>
    <w:rsid w:val="001220BA"/>
    <w:rsid w:val="001231C2"/>
    <w:rsid w:val="00127996"/>
    <w:rsid w:val="00127FA0"/>
    <w:rsid w:val="0013209F"/>
    <w:rsid w:val="001332F0"/>
    <w:rsid w:val="00133D04"/>
    <w:rsid w:val="00134C95"/>
    <w:rsid w:val="0013534E"/>
    <w:rsid w:val="00136885"/>
    <w:rsid w:val="001407C4"/>
    <w:rsid w:val="00141405"/>
    <w:rsid w:val="00142928"/>
    <w:rsid w:val="001443D5"/>
    <w:rsid w:val="0014474E"/>
    <w:rsid w:val="00144CBF"/>
    <w:rsid w:val="00147341"/>
    <w:rsid w:val="0014772A"/>
    <w:rsid w:val="00147D19"/>
    <w:rsid w:val="00147F8E"/>
    <w:rsid w:val="001514D5"/>
    <w:rsid w:val="00151B4E"/>
    <w:rsid w:val="001520AA"/>
    <w:rsid w:val="001536BE"/>
    <w:rsid w:val="0015415F"/>
    <w:rsid w:val="00154E7F"/>
    <w:rsid w:val="0015599C"/>
    <w:rsid w:val="001627B4"/>
    <w:rsid w:val="00167BE2"/>
    <w:rsid w:val="00173214"/>
    <w:rsid w:val="00173328"/>
    <w:rsid w:val="00173345"/>
    <w:rsid w:val="001754D7"/>
    <w:rsid w:val="001765C6"/>
    <w:rsid w:val="00180138"/>
    <w:rsid w:val="00180ECA"/>
    <w:rsid w:val="001820EA"/>
    <w:rsid w:val="00183930"/>
    <w:rsid w:val="00184212"/>
    <w:rsid w:val="0018541D"/>
    <w:rsid w:val="00185C30"/>
    <w:rsid w:val="00186B7C"/>
    <w:rsid w:val="00187E7E"/>
    <w:rsid w:val="0019040F"/>
    <w:rsid w:val="001917F0"/>
    <w:rsid w:val="00191DBE"/>
    <w:rsid w:val="00192027"/>
    <w:rsid w:val="0019255E"/>
    <w:rsid w:val="001927E6"/>
    <w:rsid w:val="00192C38"/>
    <w:rsid w:val="00194580"/>
    <w:rsid w:val="0019467B"/>
    <w:rsid w:val="00194986"/>
    <w:rsid w:val="001949A1"/>
    <w:rsid w:val="001969C9"/>
    <w:rsid w:val="001A2227"/>
    <w:rsid w:val="001A3660"/>
    <w:rsid w:val="001A72B7"/>
    <w:rsid w:val="001A7541"/>
    <w:rsid w:val="001B2003"/>
    <w:rsid w:val="001B3508"/>
    <w:rsid w:val="001B36DB"/>
    <w:rsid w:val="001B3D64"/>
    <w:rsid w:val="001B56E3"/>
    <w:rsid w:val="001B5DDA"/>
    <w:rsid w:val="001B6443"/>
    <w:rsid w:val="001B7DF7"/>
    <w:rsid w:val="001C162D"/>
    <w:rsid w:val="001C2D26"/>
    <w:rsid w:val="001C334D"/>
    <w:rsid w:val="001C3500"/>
    <w:rsid w:val="001C3DA4"/>
    <w:rsid w:val="001C4DCA"/>
    <w:rsid w:val="001C66C4"/>
    <w:rsid w:val="001D0816"/>
    <w:rsid w:val="001D1717"/>
    <w:rsid w:val="001D23F6"/>
    <w:rsid w:val="001D34ED"/>
    <w:rsid w:val="001D3BC5"/>
    <w:rsid w:val="001D40BD"/>
    <w:rsid w:val="001D54BA"/>
    <w:rsid w:val="001D6B43"/>
    <w:rsid w:val="001E0595"/>
    <w:rsid w:val="001E1249"/>
    <w:rsid w:val="001E1E77"/>
    <w:rsid w:val="001E2491"/>
    <w:rsid w:val="001E3B20"/>
    <w:rsid w:val="001E3DCE"/>
    <w:rsid w:val="001E41A2"/>
    <w:rsid w:val="001E4D52"/>
    <w:rsid w:val="001E6204"/>
    <w:rsid w:val="001F2BA0"/>
    <w:rsid w:val="001F3EAC"/>
    <w:rsid w:val="001F6B41"/>
    <w:rsid w:val="001F794E"/>
    <w:rsid w:val="00201A14"/>
    <w:rsid w:val="00204070"/>
    <w:rsid w:val="00204201"/>
    <w:rsid w:val="00206D5D"/>
    <w:rsid w:val="002126B0"/>
    <w:rsid w:val="00213E05"/>
    <w:rsid w:val="00215716"/>
    <w:rsid w:val="00216756"/>
    <w:rsid w:val="00217A10"/>
    <w:rsid w:val="0022375B"/>
    <w:rsid w:val="00225B21"/>
    <w:rsid w:val="00226959"/>
    <w:rsid w:val="00231DDC"/>
    <w:rsid w:val="002325F6"/>
    <w:rsid w:val="00233535"/>
    <w:rsid w:val="00233B61"/>
    <w:rsid w:val="00234012"/>
    <w:rsid w:val="002350C8"/>
    <w:rsid w:val="0023641C"/>
    <w:rsid w:val="00236CD2"/>
    <w:rsid w:val="00241648"/>
    <w:rsid w:val="00243B7B"/>
    <w:rsid w:val="0024411C"/>
    <w:rsid w:val="00246872"/>
    <w:rsid w:val="0025226E"/>
    <w:rsid w:val="0025228F"/>
    <w:rsid w:val="002551B9"/>
    <w:rsid w:val="0025525D"/>
    <w:rsid w:val="002570A1"/>
    <w:rsid w:val="002579C6"/>
    <w:rsid w:val="00257FD1"/>
    <w:rsid w:val="00260C15"/>
    <w:rsid w:val="002613FD"/>
    <w:rsid w:val="00265266"/>
    <w:rsid w:val="00265A5D"/>
    <w:rsid w:val="00270E97"/>
    <w:rsid w:val="00272176"/>
    <w:rsid w:val="0027333B"/>
    <w:rsid w:val="00273353"/>
    <w:rsid w:val="0027410B"/>
    <w:rsid w:val="00275CE6"/>
    <w:rsid w:val="00280FAC"/>
    <w:rsid w:val="0028275E"/>
    <w:rsid w:val="00284D84"/>
    <w:rsid w:val="0029149B"/>
    <w:rsid w:val="00291756"/>
    <w:rsid w:val="00291FE6"/>
    <w:rsid w:val="00297A3F"/>
    <w:rsid w:val="002A095E"/>
    <w:rsid w:val="002A0FFC"/>
    <w:rsid w:val="002A60B2"/>
    <w:rsid w:val="002B34B6"/>
    <w:rsid w:val="002B538D"/>
    <w:rsid w:val="002C076D"/>
    <w:rsid w:val="002C1A4E"/>
    <w:rsid w:val="002C668A"/>
    <w:rsid w:val="002C6808"/>
    <w:rsid w:val="002C7877"/>
    <w:rsid w:val="002D2CF5"/>
    <w:rsid w:val="002D42F2"/>
    <w:rsid w:val="002D61D8"/>
    <w:rsid w:val="002D6338"/>
    <w:rsid w:val="002D6547"/>
    <w:rsid w:val="002E0BF1"/>
    <w:rsid w:val="002E234D"/>
    <w:rsid w:val="002E5F65"/>
    <w:rsid w:val="002E77C5"/>
    <w:rsid w:val="002E7854"/>
    <w:rsid w:val="002F2240"/>
    <w:rsid w:val="002F24EA"/>
    <w:rsid w:val="002F5370"/>
    <w:rsid w:val="002F6981"/>
    <w:rsid w:val="002F6B3A"/>
    <w:rsid w:val="002F6B53"/>
    <w:rsid w:val="002F7989"/>
    <w:rsid w:val="0030305A"/>
    <w:rsid w:val="00305618"/>
    <w:rsid w:val="00306738"/>
    <w:rsid w:val="00306DA4"/>
    <w:rsid w:val="00313C48"/>
    <w:rsid w:val="003151C8"/>
    <w:rsid w:val="0031683A"/>
    <w:rsid w:val="0031791F"/>
    <w:rsid w:val="00323FD9"/>
    <w:rsid w:val="003300F4"/>
    <w:rsid w:val="0033102A"/>
    <w:rsid w:val="00333CA7"/>
    <w:rsid w:val="00335FA4"/>
    <w:rsid w:val="00335FDA"/>
    <w:rsid w:val="00346CBA"/>
    <w:rsid w:val="00347A2D"/>
    <w:rsid w:val="00351239"/>
    <w:rsid w:val="00351E43"/>
    <w:rsid w:val="003525C2"/>
    <w:rsid w:val="00352EB6"/>
    <w:rsid w:val="00354B01"/>
    <w:rsid w:val="00355C77"/>
    <w:rsid w:val="00356275"/>
    <w:rsid w:val="003562F3"/>
    <w:rsid w:val="0035638D"/>
    <w:rsid w:val="00362208"/>
    <w:rsid w:val="0036282B"/>
    <w:rsid w:val="00370F92"/>
    <w:rsid w:val="00371698"/>
    <w:rsid w:val="00371F5C"/>
    <w:rsid w:val="00372E49"/>
    <w:rsid w:val="00372E50"/>
    <w:rsid w:val="0037643F"/>
    <w:rsid w:val="0037768C"/>
    <w:rsid w:val="0038029A"/>
    <w:rsid w:val="00381253"/>
    <w:rsid w:val="00384D97"/>
    <w:rsid w:val="003864BE"/>
    <w:rsid w:val="00386CF8"/>
    <w:rsid w:val="00394131"/>
    <w:rsid w:val="003946D9"/>
    <w:rsid w:val="00394E8C"/>
    <w:rsid w:val="003A2C80"/>
    <w:rsid w:val="003B0351"/>
    <w:rsid w:val="003B0811"/>
    <w:rsid w:val="003B1107"/>
    <w:rsid w:val="003B36C6"/>
    <w:rsid w:val="003B40DD"/>
    <w:rsid w:val="003B415A"/>
    <w:rsid w:val="003B6DFC"/>
    <w:rsid w:val="003B78AD"/>
    <w:rsid w:val="003C1512"/>
    <w:rsid w:val="003C1AA3"/>
    <w:rsid w:val="003D124C"/>
    <w:rsid w:val="003D25D6"/>
    <w:rsid w:val="003D25DE"/>
    <w:rsid w:val="003D2A32"/>
    <w:rsid w:val="003D6E4F"/>
    <w:rsid w:val="003E0615"/>
    <w:rsid w:val="003E168D"/>
    <w:rsid w:val="003E1B44"/>
    <w:rsid w:val="003E3717"/>
    <w:rsid w:val="003F239F"/>
    <w:rsid w:val="003F30A8"/>
    <w:rsid w:val="003F76EC"/>
    <w:rsid w:val="00400C8D"/>
    <w:rsid w:val="00401721"/>
    <w:rsid w:val="004029E2"/>
    <w:rsid w:val="004029EC"/>
    <w:rsid w:val="0040351C"/>
    <w:rsid w:val="0040363C"/>
    <w:rsid w:val="00403DB8"/>
    <w:rsid w:val="00403F15"/>
    <w:rsid w:val="00404FF2"/>
    <w:rsid w:val="0040697A"/>
    <w:rsid w:val="004113C9"/>
    <w:rsid w:val="004122F7"/>
    <w:rsid w:val="00412A5A"/>
    <w:rsid w:val="00413856"/>
    <w:rsid w:val="004148AB"/>
    <w:rsid w:val="00415A3F"/>
    <w:rsid w:val="00422906"/>
    <w:rsid w:val="004240E9"/>
    <w:rsid w:val="004241B7"/>
    <w:rsid w:val="00426948"/>
    <w:rsid w:val="00431E13"/>
    <w:rsid w:val="00435E32"/>
    <w:rsid w:val="00437050"/>
    <w:rsid w:val="004418E9"/>
    <w:rsid w:val="00442355"/>
    <w:rsid w:val="00443399"/>
    <w:rsid w:val="00444A7C"/>
    <w:rsid w:val="00444D45"/>
    <w:rsid w:val="0044635B"/>
    <w:rsid w:val="00451783"/>
    <w:rsid w:val="00451F99"/>
    <w:rsid w:val="004521A1"/>
    <w:rsid w:val="00452E43"/>
    <w:rsid w:val="0045562B"/>
    <w:rsid w:val="0045686B"/>
    <w:rsid w:val="00460DD5"/>
    <w:rsid w:val="00461028"/>
    <w:rsid w:val="004614F8"/>
    <w:rsid w:val="0046399A"/>
    <w:rsid w:val="0046467D"/>
    <w:rsid w:val="00464BD0"/>
    <w:rsid w:val="0046670B"/>
    <w:rsid w:val="0046757F"/>
    <w:rsid w:val="004678CD"/>
    <w:rsid w:val="004678D7"/>
    <w:rsid w:val="0047100B"/>
    <w:rsid w:val="004736AD"/>
    <w:rsid w:val="0047371C"/>
    <w:rsid w:val="004756F2"/>
    <w:rsid w:val="004769DC"/>
    <w:rsid w:val="00476E1F"/>
    <w:rsid w:val="00477695"/>
    <w:rsid w:val="00481E9C"/>
    <w:rsid w:val="00481F0A"/>
    <w:rsid w:val="00482779"/>
    <w:rsid w:val="00482D9B"/>
    <w:rsid w:val="00483DD6"/>
    <w:rsid w:val="004910D3"/>
    <w:rsid w:val="004923F4"/>
    <w:rsid w:val="00493202"/>
    <w:rsid w:val="004947D4"/>
    <w:rsid w:val="00496A8B"/>
    <w:rsid w:val="00496E80"/>
    <w:rsid w:val="00496FC5"/>
    <w:rsid w:val="00497E68"/>
    <w:rsid w:val="004A27F1"/>
    <w:rsid w:val="004A343A"/>
    <w:rsid w:val="004A3B7C"/>
    <w:rsid w:val="004A4839"/>
    <w:rsid w:val="004A58F3"/>
    <w:rsid w:val="004B299C"/>
    <w:rsid w:val="004B2E60"/>
    <w:rsid w:val="004B7AD8"/>
    <w:rsid w:val="004C0E24"/>
    <w:rsid w:val="004C492D"/>
    <w:rsid w:val="004C56DF"/>
    <w:rsid w:val="004C5F10"/>
    <w:rsid w:val="004D3780"/>
    <w:rsid w:val="004D3D14"/>
    <w:rsid w:val="004D3EF5"/>
    <w:rsid w:val="004D75D7"/>
    <w:rsid w:val="004D763E"/>
    <w:rsid w:val="004D7910"/>
    <w:rsid w:val="004E045D"/>
    <w:rsid w:val="004E1F1E"/>
    <w:rsid w:val="004E2C0A"/>
    <w:rsid w:val="004E545A"/>
    <w:rsid w:val="004E5DBB"/>
    <w:rsid w:val="004E6451"/>
    <w:rsid w:val="004E6946"/>
    <w:rsid w:val="004E6B8B"/>
    <w:rsid w:val="004E6CE7"/>
    <w:rsid w:val="004E6E58"/>
    <w:rsid w:val="004E7EDE"/>
    <w:rsid w:val="004F1D7C"/>
    <w:rsid w:val="004F1D97"/>
    <w:rsid w:val="004F75EF"/>
    <w:rsid w:val="004F7F8C"/>
    <w:rsid w:val="00500BC2"/>
    <w:rsid w:val="00501C70"/>
    <w:rsid w:val="0050363B"/>
    <w:rsid w:val="00503B2C"/>
    <w:rsid w:val="00504D1A"/>
    <w:rsid w:val="0050666B"/>
    <w:rsid w:val="00510FA6"/>
    <w:rsid w:val="00511FE2"/>
    <w:rsid w:val="005155B5"/>
    <w:rsid w:val="0051798E"/>
    <w:rsid w:val="00517D6C"/>
    <w:rsid w:val="00517F36"/>
    <w:rsid w:val="00522A4A"/>
    <w:rsid w:val="00525006"/>
    <w:rsid w:val="00526B1B"/>
    <w:rsid w:val="00530049"/>
    <w:rsid w:val="0053244E"/>
    <w:rsid w:val="00533BF0"/>
    <w:rsid w:val="005343EE"/>
    <w:rsid w:val="00534B3D"/>
    <w:rsid w:val="005359C5"/>
    <w:rsid w:val="0054268D"/>
    <w:rsid w:val="005448B5"/>
    <w:rsid w:val="00544F77"/>
    <w:rsid w:val="00545257"/>
    <w:rsid w:val="005542D1"/>
    <w:rsid w:val="00554DA3"/>
    <w:rsid w:val="00555DF1"/>
    <w:rsid w:val="0055786D"/>
    <w:rsid w:val="005647F0"/>
    <w:rsid w:val="00566E62"/>
    <w:rsid w:val="005702A3"/>
    <w:rsid w:val="005711BB"/>
    <w:rsid w:val="00571D46"/>
    <w:rsid w:val="00572903"/>
    <w:rsid w:val="005750DE"/>
    <w:rsid w:val="00575498"/>
    <w:rsid w:val="00575EB6"/>
    <w:rsid w:val="00580870"/>
    <w:rsid w:val="00583167"/>
    <w:rsid w:val="005870CF"/>
    <w:rsid w:val="005879DD"/>
    <w:rsid w:val="00587D82"/>
    <w:rsid w:val="00590611"/>
    <w:rsid w:val="00590C92"/>
    <w:rsid w:val="0059275F"/>
    <w:rsid w:val="00592975"/>
    <w:rsid w:val="00595A9B"/>
    <w:rsid w:val="00595EF0"/>
    <w:rsid w:val="005A1B58"/>
    <w:rsid w:val="005A32CA"/>
    <w:rsid w:val="005A7F30"/>
    <w:rsid w:val="005B2D78"/>
    <w:rsid w:val="005B2F64"/>
    <w:rsid w:val="005B4E39"/>
    <w:rsid w:val="005B65D8"/>
    <w:rsid w:val="005C0CFE"/>
    <w:rsid w:val="005C3BD9"/>
    <w:rsid w:val="005D04C4"/>
    <w:rsid w:val="005D0D62"/>
    <w:rsid w:val="005D2E47"/>
    <w:rsid w:val="005D752F"/>
    <w:rsid w:val="005E19A5"/>
    <w:rsid w:val="005E23C1"/>
    <w:rsid w:val="005E2E61"/>
    <w:rsid w:val="005E328D"/>
    <w:rsid w:val="005E794E"/>
    <w:rsid w:val="005F09B4"/>
    <w:rsid w:val="005F1CA0"/>
    <w:rsid w:val="005F2CD2"/>
    <w:rsid w:val="005F3CEB"/>
    <w:rsid w:val="005F4B64"/>
    <w:rsid w:val="005F4D65"/>
    <w:rsid w:val="005F50A9"/>
    <w:rsid w:val="005F72B9"/>
    <w:rsid w:val="005F7E51"/>
    <w:rsid w:val="00600CB5"/>
    <w:rsid w:val="00601219"/>
    <w:rsid w:val="006018AB"/>
    <w:rsid w:val="00602106"/>
    <w:rsid w:val="00602C59"/>
    <w:rsid w:val="00603629"/>
    <w:rsid w:val="00605FEC"/>
    <w:rsid w:val="0060693F"/>
    <w:rsid w:val="0061095C"/>
    <w:rsid w:val="00611629"/>
    <w:rsid w:val="00611890"/>
    <w:rsid w:val="006118B5"/>
    <w:rsid w:val="00611F34"/>
    <w:rsid w:val="0061682A"/>
    <w:rsid w:val="00622F67"/>
    <w:rsid w:val="00625042"/>
    <w:rsid w:val="006252B1"/>
    <w:rsid w:val="00625D4A"/>
    <w:rsid w:val="006264EC"/>
    <w:rsid w:val="00626619"/>
    <w:rsid w:val="00630792"/>
    <w:rsid w:val="00630A72"/>
    <w:rsid w:val="006326BE"/>
    <w:rsid w:val="00634201"/>
    <w:rsid w:val="00635577"/>
    <w:rsid w:val="00636C40"/>
    <w:rsid w:val="00642640"/>
    <w:rsid w:val="00642CBA"/>
    <w:rsid w:val="00644EE6"/>
    <w:rsid w:val="0064525C"/>
    <w:rsid w:val="00645BA6"/>
    <w:rsid w:val="00646B10"/>
    <w:rsid w:val="00646CB5"/>
    <w:rsid w:val="00647745"/>
    <w:rsid w:val="00647A42"/>
    <w:rsid w:val="00652907"/>
    <w:rsid w:val="00652A6B"/>
    <w:rsid w:val="006542D1"/>
    <w:rsid w:val="006557B0"/>
    <w:rsid w:val="00656AC3"/>
    <w:rsid w:val="00657D79"/>
    <w:rsid w:val="00660CAE"/>
    <w:rsid w:val="006612D8"/>
    <w:rsid w:val="006658DC"/>
    <w:rsid w:val="00665BA1"/>
    <w:rsid w:val="0067259C"/>
    <w:rsid w:val="00672646"/>
    <w:rsid w:val="00676D2E"/>
    <w:rsid w:val="006812C8"/>
    <w:rsid w:val="0068182C"/>
    <w:rsid w:val="00682237"/>
    <w:rsid w:val="00682970"/>
    <w:rsid w:val="006831F9"/>
    <w:rsid w:val="00685A97"/>
    <w:rsid w:val="0068634E"/>
    <w:rsid w:val="00687B1D"/>
    <w:rsid w:val="00691E8F"/>
    <w:rsid w:val="00693572"/>
    <w:rsid w:val="0069463A"/>
    <w:rsid w:val="00694FFE"/>
    <w:rsid w:val="006A0F3A"/>
    <w:rsid w:val="006A187E"/>
    <w:rsid w:val="006A6135"/>
    <w:rsid w:val="006A733A"/>
    <w:rsid w:val="006B138B"/>
    <w:rsid w:val="006B1845"/>
    <w:rsid w:val="006B1F5E"/>
    <w:rsid w:val="006B234C"/>
    <w:rsid w:val="006B2DEC"/>
    <w:rsid w:val="006B53D6"/>
    <w:rsid w:val="006B5466"/>
    <w:rsid w:val="006B5899"/>
    <w:rsid w:val="006B5E64"/>
    <w:rsid w:val="006C0349"/>
    <w:rsid w:val="006C1886"/>
    <w:rsid w:val="006C2A99"/>
    <w:rsid w:val="006C306A"/>
    <w:rsid w:val="006C33BF"/>
    <w:rsid w:val="006C7A98"/>
    <w:rsid w:val="006D050F"/>
    <w:rsid w:val="006D1358"/>
    <w:rsid w:val="006D3855"/>
    <w:rsid w:val="006D6361"/>
    <w:rsid w:val="006D66F8"/>
    <w:rsid w:val="006E0023"/>
    <w:rsid w:val="006E0144"/>
    <w:rsid w:val="006E2AE2"/>
    <w:rsid w:val="006E32A3"/>
    <w:rsid w:val="006E3C6D"/>
    <w:rsid w:val="006E41CD"/>
    <w:rsid w:val="006E662A"/>
    <w:rsid w:val="006E687D"/>
    <w:rsid w:val="006F2825"/>
    <w:rsid w:val="006F2924"/>
    <w:rsid w:val="006F3FD4"/>
    <w:rsid w:val="006F41A9"/>
    <w:rsid w:val="006F5FD0"/>
    <w:rsid w:val="006F619D"/>
    <w:rsid w:val="0070138B"/>
    <w:rsid w:val="00701525"/>
    <w:rsid w:val="00703BD9"/>
    <w:rsid w:val="0070403A"/>
    <w:rsid w:val="007054CE"/>
    <w:rsid w:val="0070745D"/>
    <w:rsid w:val="007078DF"/>
    <w:rsid w:val="00711CA3"/>
    <w:rsid w:val="0071454D"/>
    <w:rsid w:val="00716708"/>
    <w:rsid w:val="007206B2"/>
    <w:rsid w:val="0072292C"/>
    <w:rsid w:val="007326E9"/>
    <w:rsid w:val="00733FC8"/>
    <w:rsid w:val="00734058"/>
    <w:rsid w:val="007362E4"/>
    <w:rsid w:val="00736462"/>
    <w:rsid w:val="00736644"/>
    <w:rsid w:val="00741A0B"/>
    <w:rsid w:val="00743404"/>
    <w:rsid w:val="00743E61"/>
    <w:rsid w:val="007473E6"/>
    <w:rsid w:val="0074770A"/>
    <w:rsid w:val="00747E6C"/>
    <w:rsid w:val="00753FD1"/>
    <w:rsid w:val="00754EF2"/>
    <w:rsid w:val="00755D86"/>
    <w:rsid w:val="00757006"/>
    <w:rsid w:val="00761682"/>
    <w:rsid w:val="007663BD"/>
    <w:rsid w:val="0076727C"/>
    <w:rsid w:val="00767D0B"/>
    <w:rsid w:val="007718A5"/>
    <w:rsid w:val="00771A12"/>
    <w:rsid w:val="00771DF6"/>
    <w:rsid w:val="007732A9"/>
    <w:rsid w:val="00774CE8"/>
    <w:rsid w:val="00775BB2"/>
    <w:rsid w:val="00780D68"/>
    <w:rsid w:val="00781CFB"/>
    <w:rsid w:val="00783E36"/>
    <w:rsid w:val="00784180"/>
    <w:rsid w:val="00784761"/>
    <w:rsid w:val="00784D51"/>
    <w:rsid w:val="007855C5"/>
    <w:rsid w:val="00787821"/>
    <w:rsid w:val="00796C35"/>
    <w:rsid w:val="007A1B91"/>
    <w:rsid w:val="007A23C2"/>
    <w:rsid w:val="007A2E67"/>
    <w:rsid w:val="007A3DCD"/>
    <w:rsid w:val="007A50AA"/>
    <w:rsid w:val="007A6978"/>
    <w:rsid w:val="007A6D19"/>
    <w:rsid w:val="007B3105"/>
    <w:rsid w:val="007B3BC5"/>
    <w:rsid w:val="007B7DAA"/>
    <w:rsid w:val="007C3262"/>
    <w:rsid w:val="007C4C00"/>
    <w:rsid w:val="007D120A"/>
    <w:rsid w:val="007D1DFD"/>
    <w:rsid w:val="007D2D30"/>
    <w:rsid w:val="007D44CC"/>
    <w:rsid w:val="007D5216"/>
    <w:rsid w:val="007D53F7"/>
    <w:rsid w:val="007D5893"/>
    <w:rsid w:val="007D5CBC"/>
    <w:rsid w:val="007D71D2"/>
    <w:rsid w:val="007E4454"/>
    <w:rsid w:val="007E60EC"/>
    <w:rsid w:val="007E7810"/>
    <w:rsid w:val="007F0CFF"/>
    <w:rsid w:val="007F0EF7"/>
    <w:rsid w:val="007F0F6C"/>
    <w:rsid w:val="007F16E4"/>
    <w:rsid w:val="007F2131"/>
    <w:rsid w:val="007F6854"/>
    <w:rsid w:val="007F736F"/>
    <w:rsid w:val="008006D5"/>
    <w:rsid w:val="00803A14"/>
    <w:rsid w:val="008049FF"/>
    <w:rsid w:val="0080518B"/>
    <w:rsid w:val="00807455"/>
    <w:rsid w:val="00810871"/>
    <w:rsid w:val="00812A60"/>
    <w:rsid w:val="00815B2A"/>
    <w:rsid w:val="00815D59"/>
    <w:rsid w:val="00816EEB"/>
    <w:rsid w:val="0082005C"/>
    <w:rsid w:val="008220DF"/>
    <w:rsid w:val="008237AF"/>
    <w:rsid w:val="00824103"/>
    <w:rsid w:val="00826C56"/>
    <w:rsid w:val="00834F40"/>
    <w:rsid w:val="00835DE0"/>
    <w:rsid w:val="008365E9"/>
    <w:rsid w:val="008420F3"/>
    <w:rsid w:val="00845FAD"/>
    <w:rsid w:val="00847187"/>
    <w:rsid w:val="00853936"/>
    <w:rsid w:val="00855750"/>
    <w:rsid w:val="00856B4A"/>
    <w:rsid w:val="008609BF"/>
    <w:rsid w:val="00860C00"/>
    <w:rsid w:val="00863513"/>
    <w:rsid w:val="0086675E"/>
    <w:rsid w:val="00870D75"/>
    <w:rsid w:val="00871FA3"/>
    <w:rsid w:val="008728F2"/>
    <w:rsid w:val="00874AFA"/>
    <w:rsid w:val="00875E05"/>
    <w:rsid w:val="008804CA"/>
    <w:rsid w:val="0088175A"/>
    <w:rsid w:val="0088219C"/>
    <w:rsid w:val="00883C07"/>
    <w:rsid w:val="008849A3"/>
    <w:rsid w:val="0089001B"/>
    <w:rsid w:val="00890FA8"/>
    <w:rsid w:val="008938E5"/>
    <w:rsid w:val="00894389"/>
    <w:rsid w:val="00897B06"/>
    <w:rsid w:val="008A0F71"/>
    <w:rsid w:val="008A3F87"/>
    <w:rsid w:val="008A4BA1"/>
    <w:rsid w:val="008A52B9"/>
    <w:rsid w:val="008A5809"/>
    <w:rsid w:val="008B3A39"/>
    <w:rsid w:val="008B5F94"/>
    <w:rsid w:val="008B6A8B"/>
    <w:rsid w:val="008C06D8"/>
    <w:rsid w:val="008C0962"/>
    <w:rsid w:val="008C150D"/>
    <w:rsid w:val="008C52C3"/>
    <w:rsid w:val="008C7372"/>
    <w:rsid w:val="008C78FA"/>
    <w:rsid w:val="008D0CED"/>
    <w:rsid w:val="008D1F54"/>
    <w:rsid w:val="008D2670"/>
    <w:rsid w:val="008D408C"/>
    <w:rsid w:val="008D4E67"/>
    <w:rsid w:val="008D6B06"/>
    <w:rsid w:val="008D7900"/>
    <w:rsid w:val="008D7EC2"/>
    <w:rsid w:val="008E112A"/>
    <w:rsid w:val="008E1587"/>
    <w:rsid w:val="008E2DA8"/>
    <w:rsid w:val="008E46DF"/>
    <w:rsid w:val="008E5490"/>
    <w:rsid w:val="008E6CA5"/>
    <w:rsid w:val="008E7E09"/>
    <w:rsid w:val="008E7E23"/>
    <w:rsid w:val="008F0622"/>
    <w:rsid w:val="008F161F"/>
    <w:rsid w:val="008F2E58"/>
    <w:rsid w:val="008F745A"/>
    <w:rsid w:val="008F7A72"/>
    <w:rsid w:val="009008DA"/>
    <w:rsid w:val="00901447"/>
    <w:rsid w:val="009015A9"/>
    <w:rsid w:val="00903775"/>
    <w:rsid w:val="009043BB"/>
    <w:rsid w:val="00904573"/>
    <w:rsid w:val="00906C7A"/>
    <w:rsid w:val="00907FB4"/>
    <w:rsid w:val="00911724"/>
    <w:rsid w:val="00912054"/>
    <w:rsid w:val="009150E9"/>
    <w:rsid w:val="0091583B"/>
    <w:rsid w:val="0091635E"/>
    <w:rsid w:val="00922C76"/>
    <w:rsid w:val="0092679D"/>
    <w:rsid w:val="00932DE3"/>
    <w:rsid w:val="00933723"/>
    <w:rsid w:val="00933956"/>
    <w:rsid w:val="009354B2"/>
    <w:rsid w:val="00935849"/>
    <w:rsid w:val="00937349"/>
    <w:rsid w:val="0093772D"/>
    <w:rsid w:val="009407A6"/>
    <w:rsid w:val="00941D90"/>
    <w:rsid w:val="0094235A"/>
    <w:rsid w:val="009452AE"/>
    <w:rsid w:val="00950F69"/>
    <w:rsid w:val="0095270D"/>
    <w:rsid w:val="00955E2A"/>
    <w:rsid w:val="00956027"/>
    <w:rsid w:val="009572C6"/>
    <w:rsid w:val="009616BA"/>
    <w:rsid w:val="0096241B"/>
    <w:rsid w:val="00964453"/>
    <w:rsid w:val="00964E59"/>
    <w:rsid w:val="00967E35"/>
    <w:rsid w:val="009708FC"/>
    <w:rsid w:val="009733BF"/>
    <w:rsid w:val="009756C3"/>
    <w:rsid w:val="0097670C"/>
    <w:rsid w:val="00976D0D"/>
    <w:rsid w:val="0097722E"/>
    <w:rsid w:val="009803A8"/>
    <w:rsid w:val="00982040"/>
    <w:rsid w:val="00983BD6"/>
    <w:rsid w:val="00984B36"/>
    <w:rsid w:val="00985987"/>
    <w:rsid w:val="009867D7"/>
    <w:rsid w:val="00986EE5"/>
    <w:rsid w:val="00991D97"/>
    <w:rsid w:val="00991F0F"/>
    <w:rsid w:val="00993B4B"/>
    <w:rsid w:val="00994029"/>
    <w:rsid w:val="0099651E"/>
    <w:rsid w:val="00996B05"/>
    <w:rsid w:val="00997304"/>
    <w:rsid w:val="00997565"/>
    <w:rsid w:val="009A0425"/>
    <w:rsid w:val="009A1462"/>
    <w:rsid w:val="009A17BF"/>
    <w:rsid w:val="009A31D3"/>
    <w:rsid w:val="009A33DB"/>
    <w:rsid w:val="009B0C99"/>
    <w:rsid w:val="009B0D7D"/>
    <w:rsid w:val="009B0FAF"/>
    <w:rsid w:val="009B1BC4"/>
    <w:rsid w:val="009B3B15"/>
    <w:rsid w:val="009B3E96"/>
    <w:rsid w:val="009B6268"/>
    <w:rsid w:val="009B6C17"/>
    <w:rsid w:val="009B6F4E"/>
    <w:rsid w:val="009C503B"/>
    <w:rsid w:val="009C5824"/>
    <w:rsid w:val="009C5B60"/>
    <w:rsid w:val="009C5D34"/>
    <w:rsid w:val="009C7C98"/>
    <w:rsid w:val="009D03D9"/>
    <w:rsid w:val="009D0DEC"/>
    <w:rsid w:val="009D43A2"/>
    <w:rsid w:val="009D4566"/>
    <w:rsid w:val="009D4602"/>
    <w:rsid w:val="009D5E6C"/>
    <w:rsid w:val="009D6885"/>
    <w:rsid w:val="009E6521"/>
    <w:rsid w:val="009E6BA5"/>
    <w:rsid w:val="009F09A4"/>
    <w:rsid w:val="009F1331"/>
    <w:rsid w:val="009F1D07"/>
    <w:rsid w:val="009F3143"/>
    <w:rsid w:val="009F3545"/>
    <w:rsid w:val="009F3E67"/>
    <w:rsid w:val="009F6C4E"/>
    <w:rsid w:val="00A000FC"/>
    <w:rsid w:val="00A00402"/>
    <w:rsid w:val="00A00B3D"/>
    <w:rsid w:val="00A0198D"/>
    <w:rsid w:val="00A02A00"/>
    <w:rsid w:val="00A03491"/>
    <w:rsid w:val="00A10C84"/>
    <w:rsid w:val="00A12E65"/>
    <w:rsid w:val="00A136E3"/>
    <w:rsid w:val="00A13AAD"/>
    <w:rsid w:val="00A14DC5"/>
    <w:rsid w:val="00A154C0"/>
    <w:rsid w:val="00A15AB1"/>
    <w:rsid w:val="00A21A0D"/>
    <w:rsid w:val="00A22A71"/>
    <w:rsid w:val="00A233B1"/>
    <w:rsid w:val="00A26D69"/>
    <w:rsid w:val="00A27466"/>
    <w:rsid w:val="00A278D6"/>
    <w:rsid w:val="00A32384"/>
    <w:rsid w:val="00A34057"/>
    <w:rsid w:val="00A366B6"/>
    <w:rsid w:val="00A368E4"/>
    <w:rsid w:val="00A36962"/>
    <w:rsid w:val="00A4187A"/>
    <w:rsid w:val="00A41F04"/>
    <w:rsid w:val="00A41F3D"/>
    <w:rsid w:val="00A4257F"/>
    <w:rsid w:val="00A44DE3"/>
    <w:rsid w:val="00A45F84"/>
    <w:rsid w:val="00A4609F"/>
    <w:rsid w:val="00A47035"/>
    <w:rsid w:val="00A479FE"/>
    <w:rsid w:val="00A52690"/>
    <w:rsid w:val="00A529CC"/>
    <w:rsid w:val="00A52FB1"/>
    <w:rsid w:val="00A5488E"/>
    <w:rsid w:val="00A5617E"/>
    <w:rsid w:val="00A60E8D"/>
    <w:rsid w:val="00A64338"/>
    <w:rsid w:val="00A656E6"/>
    <w:rsid w:val="00A66006"/>
    <w:rsid w:val="00A678B2"/>
    <w:rsid w:val="00A70CE1"/>
    <w:rsid w:val="00A71D9A"/>
    <w:rsid w:val="00A8180C"/>
    <w:rsid w:val="00A8553C"/>
    <w:rsid w:val="00A871F9"/>
    <w:rsid w:val="00A879EB"/>
    <w:rsid w:val="00A932E7"/>
    <w:rsid w:val="00A93CB3"/>
    <w:rsid w:val="00A95518"/>
    <w:rsid w:val="00A9719A"/>
    <w:rsid w:val="00A9725D"/>
    <w:rsid w:val="00AA02FF"/>
    <w:rsid w:val="00AA130B"/>
    <w:rsid w:val="00AA1363"/>
    <w:rsid w:val="00AA3BA1"/>
    <w:rsid w:val="00AA3C8C"/>
    <w:rsid w:val="00AA4EEA"/>
    <w:rsid w:val="00AA63DE"/>
    <w:rsid w:val="00AA6531"/>
    <w:rsid w:val="00AB11CA"/>
    <w:rsid w:val="00AB5D1F"/>
    <w:rsid w:val="00AB7D64"/>
    <w:rsid w:val="00AC198B"/>
    <w:rsid w:val="00AC2738"/>
    <w:rsid w:val="00AC2807"/>
    <w:rsid w:val="00AC2D9D"/>
    <w:rsid w:val="00AC33AF"/>
    <w:rsid w:val="00AC5044"/>
    <w:rsid w:val="00AC6CBD"/>
    <w:rsid w:val="00AD0E72"/>
    <w:rsid w:val="00AD1E73"/>
    <w:rsid w:val="00AD3820"/>
    <w:rsid w:val="00AD6FBD"/>
    <w:rsid w:val="00AE10D8"/>
    <w:rsid w:val="00AE17CB"/>
    <w:rsid w:val="00AE3AAC"/>
    <w:rsid w:val="00AE5973"/>
    <w:rsid w:val="00AE7B90"/>
    <w:rsid w:val="00AF0567"/>
    <w:rsid w:val="00AF3F95"/>
    <w:rsid w:val="00AF5052"/>
    <w:rsid w:val="00AF7A1C"/>
    <w:rsid w:val="00AF7AE5"/>
    <w:rsid w:val="00AF7E14"/>
    <w:rsid w:val="00B011F5"/>
    <w:rsid w:val="00B02838"/>
    <w:rsid w:val="00B03A24"/>
    <w:rsid w:val="00B13D95"/>
    <w:rsid w:val="00B1458C"/>
    <w:rsid w:val="00B1620A"/>
    <w:rsid w:val="00B2232A"/>
    <w:rsid w:val="00B22962"/>
    <w:rsid w:val="00B244E5"/>
    <w:rsid w:val="00B24972"/>
    <w:rsid w:val="00B24C3F"/>
    <w:rsid w:val="00B252B0"/>
    <w:rsid w:val="00B257F2"/>
    <w:rsid w:val="00B26102"/>
    <w:rsid w:val="00B26F29"/>
    <w:rsid w:val="00B2706C"/>
    <w:rsid w:val="00B2752A"/>
    <w:rsid w:val="00B337F1"/>
    <w:rsid w:val="00B33C0C"/>
    <w:rsid w:val="00B33DDA"/>
    <w:rsid w:val="00B34F44"/>
    <w:rsid w:val="00B42858"/>
    <w:rsid w:val="00B431A1"/>
    <w:rsid w:val="00B452BA"/>
    <w:rsid w:val="00B47739"/>
    <w:rsid w:val="00B502C0"/>
    <w:rsid w:val="00B5163F"/>
    <w:rsid w:val="00B52408"/>
    <w:rsid w:val="00B53807"/>
    <w:rsid w:val="00B542C7"/>
    <w:rsid w:val="00B55F5B"/>
    <w:rsid w:val="00B565A8"/>
    <w:rsid w:val="00B57030"/>
    <w:rsid w:val="00B602A8"/>
    <w:rsid w:val="00B60DAE"/>
    <w:rsid w:val="00B6198F"/>
    <w:rsid w:val="00B6404A"/>
    <w:rsid w:val="00B644E0"/>
    <w:rsid w:val="00B65640"/>
    <w:rsid w:val="00B67C2A"/>
    <w:rsid w:val="00B73323"/>
    <w:rsid w:val="00B73C1D"/>
    <w:rsid w:val="00B757FE"/>
    <w:rsid w:val="00B8174D"/>
    <w:rsid w:val="00B82007"/>
    <w:rsid w:val="00B82FC4"/>
    <w:rsid w:val="00B853E2"/>
    <w:rsid w:val="00B86715"/>
    <w:rsid w:val="00B86B99"/>
    <w:rsid w:val="00B90559"/>
    <w:rsid w:val="00B90E05"/>
    <w:rsid w:val="00B96E9A"/>
    <w:rsid w:val="00BA0258"/>
    <w:rsid w:val="00BA0A05"/>
    <w:rsid w:val="00BA0F31"/>
    <w:rsid w:val="00BA16C6"/>
    <w:rsid w:val="00BA1D1B"/>
    <w:rsid w:val="00BA290F"/>
    <w:rsid w:val="00BA3E65"/>
    <w:rsid w:val="00BA4A5E"/>
    <w:rsid w:val="00BA67F9"/>
    <w:rsid w:val="00BB40D4"/>
    <w:rsid w:val="00BB4BBB"/>
    <w:rsid w:val="00BB5E47"/>
    <w:rsid w:val="00BB6E55"/>
    <w:rsid w:val="00BC1B83"/>
    <w:rsid w:val="00BC4D76"/>
    <w:rsid w:val="00BC58F9"/>
    <w:rsid w:val="00BC58FD"/>
    <w:rsid w:val="00BD28A0"/>
    <w:rsid w:val="00BD44D6"/>
    <w:rsid w:val="00BD63D7"/>
    <w:rsid w:val="00BD6966"/>
    <w:rsid w:val="00BD6A85"/>
    <w:rsid w:val="00BE079C"/>
    <w:rsid w:val="00BE08E4"/>
    <w:rsid w:val="00BE1597"/>
    <w:rsid w:val="00BE1823"/>
    <w:rsid w:val="00BE36DA"/>
    <w:rsid w:val="00BE3F3B"/>
    <w:rsid w:val="00BE49EE"/>
    <w:rsid w:val="00BE7AB4"/>
    <w:rsid w:val="00BF1633"/>
    <w:rsid w:val="00BF2300"/>
    <w:rsid w:val="00BF2F16"/>
    <w:rsid w:val="00BF36F9"/>
    <w:rsid w:val="00BF38C2"/>
    <w:rsid w:val="00BF3E33"/>
    <w:rsid w:val="00BF4EF9"/>
    <w:rsid w:val="00C013C7"/>
    <w:rsid w:val="00C0270B"/>
    <w:rsid w:val="00C04206"/>
    <w:rsid w:val="00C0478B"/>
    <w:rsid w:val="00C053FF"/>
    <w:rsid w:val="00C0744C"/>
    <w:rsid w:val="00C07548"/>
    <w:rsid w:val="00C12F00"/>
    <w:rsid w:val="00C13B66"/>
    <w:rsid w:val="00C14AFD"/>
    <w:rsid w:val="00C14D6C"/>
    <w:rsid w:val="00C15203"/>
    <w:rsid w:val="00C163EC"/>
    <w:rsid w:val="00C200FF"/>
    <w:rsid w:val="00C201BF"/>
    <w:rsid w:val="00C21B4F"/>
    <w:rsid w:val="00C22868"/>
    <w:rsid w:val="00C248F4"/>
    <w:rsid w:val="00C24B5B"/>
    <w:rsid w:val="00C24CC6"/>
    <w:rsid w:val="00C25160"/>
    <w:rsid w:val="00C25C6A"/>
    <w:rsid w:val="00C30710"/>
    <w:rsid w:val="00C30D31"/>
    <w:rsid w:val="00C34C40"/>
    <w:rsid w:val="00C35F8B"/>
    <w:rsid w:val="00C37640"/>
    <w:rsid w:val="00C406A5"/>
    <w:rsid w:val="00C40BD1"/>
    <w:rsid w:val="00C41D5C"/>
    <w:rsid w:val="00C42C02"/>
    <w:rsid w:val="00C44C34"/>
    <w:rsid w:val="00C44F56"/>
    <w:rsid w:val="00C45C9B"/>
    <w:rsid w:val="00C47188"/>
    <w:rsid w:val="00C47615"/>
    <w:rsid w:val="00C503EA"/>
    <w:rsid w:val="00C50918"/>
    <w:rsid w:val="00C53344"/>
    <w:rsid w:val="00C55BEF"/>
    <w:rsid w:val="00C73955"/>
    <w:rsid w:val="00C7542E"/>
    <w:rsid w:val="00C816EB"/>
    <w:rsid w:val="00C81E12"/>
    <w:rsid w:val="00C83F7C"/>
    <w:rsid w:val="00C85D62"/>
    <w:rsid w:val="00C86D6D"/>
    <w:rsid w:val="00C956FB"/>
    <w:rsid w:val="00C96836"/>
    <w:rsid w:val="00CA078C"/>
    <w:rsid w:val="00CA0B16"/>
    <w:rsid w:val="00CA1C03"/>
    <w:rsid w:val="00CA2648"/>
    <w:rsid w:val="00CA3C14"/>
    <w:rsid w:val="00CB23B4"/>
    <w:rsid w:val="00CB4F25"/>
    <w:rsid w:val="00CC0373"/>
    <w:rsid w:val="00CC15E3"/>
    <w:rsid w:val="00CC2882"/>
    <w:rsid w:val="00CC70B9"/>
    <w:rsid w:val="00CD3442"/>
    <w:rsid w:val="00CD6713"/>
    <w:rsid w:val="00CD6B61"/>
    <w:rsid w:val="00CD76FA"/>
    <w:rsid w:val="00CD779F"/>
    <w:rsid w:val="00CD7FEE"/>
    <w:rsid w:val="00CE5569"/>
    <w:rsid w:val="00CF0CA1"/>
    <w:rsid w:val="00CF2392"/>
    <w:rsid w:val="00CF3CAB"/>
    <w:rsid w:val="00CF5A55"/>
    <w:rsid w:val="00CF6471"/>
    <w:rsid w:val="00CF7113"/>
    <w:rsid w:val="00D0191E"/>
    <w:rsid w:val="00D02F5B"/>
    <w:rsid w:val="00D02F63"/>
    <w:rsid w:val="00D031AF"/>
    <w:rsid w:val="00D043B6"/>
    <w:rsid w:val="00D101CE"/>
    <w:rsid w:val="00D10F44"/>
    <w:rsid w:val="00D11151"/>
    <w:rsid w:val="00D11721"/>
    <w:rsid w:val="00D117FC"/>
    <w:rsid w:val="00D11BB9"/>
    <w:rsid w:val="00D11C1E"/>
    <w:rsid w:val="00D1256F"/>
    <w:rsid w:val="00D1287A"/>
    <w:rsid w:val="00D13609"/>
    <w:rsid w:val="00D1516C"/>
    <w:rsid w:val="00D152B5"/>
    <w:rsid w:val="00D15354"/>
    <w:rsid w:val="00D15D0C"/>
    <w:rsid w:val="00D20E3F"/>
    <w:rsid w:val="00D2518D"/>
    <w:rsid w:val="00D257F6"/>
    <w:rsid w:val="00D26510"/>
    <w:rsid w:val="00D304D4"/>
    <w:rsid w:val="00D32AA7"/>
    <w:rsid w:val="00D334F1"/>
    <w:rsid w:val="00D33555"/>
    <w:rsid w:val="00D33E1E"/>
    <w:rsid w:val="00D34797"/>
    <w:rsid w:val="00D34BC7"/>
    <w:rsid w:val="00D35FA3"/>
    <w:rsid w:val="00D362C6"/>
    <w:rsid w:val="00D36952"/>
    <w:rsid w:val="00D36AB3"/>
    <w:rsid w:val="00D411A3"/>
    <w:rsid w:val="00D41416"/>
    <w:rsid w:val="00D429DF"/>
    <w:rsid w:val="00D42B57"/>
    <w:rsid w:val="00D42EF1"/>
    <w:rsid w:val="00D430AD"/>
    <w:rsid w:val="00D439D0"/>
    <w:rsid w:val="00D4497A"/>
    <w:rsid w:val="00D46EA2"/>
    <w:rsid w:val="00D50392"/>
    <w:rsid w:val="00D51477"/>
    <w:rsid w:val="00D51A7D"/>
    <w:rsid w:val="00D55D20"/>
    <w:rsid w:val="00D55DFC"/>
    <w:rsid w:val="00D609A1"/>
    <w:rsid w:val="00D6205F"/>
    <w:rsid w:val="00D6331B"/>
    <w:rsid w:val="00D635A6"/>
    <w:rsid w:val="00D63DDD"/>
    <w:rsid w:val="00D66217"/>
    <w:rsid w:val="00D67B01"/>
    <w:rsid w:val="00D7221A"/>
    <w:rsid w:val="00D743DD"/>
    <w:rsid w:val="00D7485C"/>
    <w:rsid w:val="00D77904"/>
    <w:rsid w:val="00D81835"/>
    <w:rsid w:val="00D829A1"/>
    <w:rsid w:val="00D83264"/>
    <w:rsid w:val="00D838F1"/>
    <w:rsid w:val="00D85117"/>
    <w:rsid w:val="00D8577C"/>
    <w:rsid w:val="00D86718"/>
    <w:rsid w:val="00D86DA9"/>
    <w:rsid w:val="00D8707B"/>
    <w:rsid w:val="00D873F5"/>
    <w:rsid w:val="00D9116B"/>
    <w:rsid w:val="00D945E9"/>
    <w:rsid w:val="00D969EA"/>
    <w:rsid w:val="00DA05DB"/>
    <w:rsid w:val="00DA11A0"/>
    <w:rsid w:val="00DA1215"/>
    <w:rsid w:val="00DA4E5D"/>
    <w:rsid w:val="00DA51E6"/>
    <w:rsid w:val="00DA5E1D"/>
    <w:rsid w:val="00DA65BF"/>
    <w:rsid w:val="00DA697E"/>
    <w:rsid w:val="00DB12F8"/>
    <w:rsid w:val="00DB363E"/>
    <w:rsid w:val="00DB39FD"/>
    <w:rsid w:val="00DB57D3"/>
    <w:rsid w:val="00DC198F"/>
    <w:rsid w:val="00DC3A19"/>
    <w:rsid w:val="00DC3A5F"/>
    <w:rsid w:val="00DC3D9F"/>
    <w:rsid w:val="00DC3E83"/>
    <w:rsid w:val="00DC73CA"/>
    <w:rsid w:val="00DD001F"/>
    <w:rsid w:val="00DD07F5"/>
    <w:rsid w:val="00DD1469"/>
    <w:rsid w:val="00DD231F"/>
    <w:rsid w:val="00DD23AF"/>
    <w:rsid w:val="00DD296E"/>
    <w:rsid w:val="00DD7914"/>
    <w:rsid w:val="00DE240A"/>
    <w:rsid w:val="00DE372B"/>
    <w:rsid w:val="00DE5CF7"/>
    <w:rsid w:val="00DE5D84"/>
    <w:rsid w:val="00DF040C"/>
    <w:rsid w:val="00DF1302"/>
    <w:rsid w:val="00DF436B"/>
    <w:rsid w:val="00DF4ECF"/>
    <w:rsid w:val="00DF6636"/>
    <w:rsid w:val="00DF72D2"/>
    <w:rsid w:val="00DF79DD"/>
    <w:rsid w:val="00E001CE"/>
    <w:rsid w:val="00E00A0B"/>
    <w:rsid w:val="00E00CA6"/>
    <w:rsid w:val="00E01F90"/>
    <w:rsid w:val="00E02F3E"/>
    <w:rsid w:val="00E04646"/>
    <w:rsid w:val="00E05A5D"/>
    <w:rsid w:val="00E06463"/>
    <w:rsid w:val="00E11168"/>
    <w:rsid w:val="00E14C64"/>
    <w:rsid w:val="00E1783F"/>
    <w:rsid w:val="00E17D18"/>
    <w:rsid w:val="00E20040"/>
    <w:rsid w:val="00E2100C"/>
    <w:rsid w:val="00E216C2"/>
    <w:rsid w:val="00E22A3A"/>
    <w:rsid w:val="00E26A09"/>
    <w:rsid w:val="00E31144"/>
    <w:rsid w:val="00E32D10"/>
    <w:rsid w:val="00E361AB"/>
    <w:rsid w:val="00E3639E"/>
    <w:rsid w:val="00E36946"/>
    <w:rsid w:val="00E36D83"/>
    <w:rsid w:val="00E37B86"/>
    <w:rsid w:val="00E41B57"/>
    <w:rsid w:val="00E41B96"/>
    <w:rsid w:val="00E42B92"/>
    <w:rsid w:val="00E44CA2"/>
    <w:rsid w:val="00E50F46"/>
    <w:rsid w:val="00E51147"/>
    <w:rsid w:val="00E5281B"/>
    <w:rsid w:val="00E5678F"/>
    <w:rsid w:val="00E6252C"/>
    <w:rsid w:val="00E62A8A"/>
    <w:rsid w:val="00E6514F"/>
    <w:rsid w:val="00E72E9C"/>
    <w:rsid w:val="00E7453C"/>
    <w:rsid w:val="00E82001"/>
    <w:rsid w:val="00E82042"/>
    <w:rsid w:val="00E8237D"/>
    <w:rsid w:val="00E82504"/>
    <w:rsid w:val="00E8420D"/>
    <w:rsid w:val="00E84FC1"/>
    <w:rsid w:val="00E85950"/>
    <w:rsid w:val="00E85C20"/>
    <w:rsid w:val="00E86585"/>
    <w:rsid w:val="00E86F25"/>
    <w:rsid w:val="00E87276"/>
    <w:rsid w:val="00E876AC"/>
    <w:rsid w:val="00E9385E"/>
    <w:rsid w:val="00E93A55"/>
    <w:rsid w:val="00E94201"/>
    <w:rsid w:val="00E95628"/>
    <w:rsid w:val="00E96FEA"/>
    <w:rsid w:val="00E97A0F"/>
    <w:rsid w:val="00E97C37"/>
    <w:rsid w:val="00EA08BB"/>
    <w:rsid w:val="00EA47AC"/>
    <w:rsid w:val="00EA6604"/>
    <w:rsid w:val="00EB2632"/>
    <w:rsid w:val="00EB3004"/>
    <w:rsid w:val="00EB4CD8"/>
    <w:rsid w:val="00EC0F79"/>
    <w:rsid w:val="00EC2E12"/>
    <w:rsid w:val="00EC3E22"/>
    <w:rsid w:val="00EC70FB"/>
    <w:rsid w:val="00ED56BD"/>
    <w:rsid w:val="00ED7CC9"/>
    <w:rsid w:val="00EE2CD9"/>
    <w:rsid w:val="00EE2F3E"/>
    <w:rsid w:val="00EE56E5"/>
    <w:rsid w:val="00EE61E6"/>
    <w:rsid w:val="00EE624B"/>
    <w:rsid w:val="00EF048D"/>
    <w:rsid w:val="00EF2033"/>
    <w:rsid w:val="00EF2632"/>
    <w:rsid w:val="00EF3230"/>
    <w:rsid w:val="00EF4C41"/>
    <w:rsid w:val="00EF573B"/>
    <w:rsid w:val="00EF70B5"/>
    <w:rsid w:val="00EF77B4"/>
    <w:rsid w:val="00EF7951"/>
    <w:rsid w:val="00F01C0A"/>
    <w:rsid w:val="00F02018"/>
    <w:rsid w:val="00F04A5E"/>
    <w:rsid w:val="00F04A70"/>
    <w:rsid w:val="00F0656B"/>
    <w:rsid w:val="00F117DE"/>
    <w:rsid w:val="00F1196F"/>
    <w:rsid w:val="00F14339"/>
    <w:rsid w:val="00F14A54"/>
    <w:rsid w:val="00F16676"/>
    <w:rsid w:val="00F17D61"/>
    <w:rsid w:val="00F2178D"/>
    <w:rsid w:val="00F21DCC"/>
    <w:rsid w:val="00F2451B"/>
    <w:rsid w:val="00F30613"/>
    <w:rsid w:val="00F3090C"/>
    <w:rsid w:val="00F3196F"/>
    <w:rsid w:val="00F33120"/>
    <w:rsid w:val="00F33643"/>
    <w:rsid w:val="00F33B86"/>
    <w:rsid w:val="00F33E71"/>
    <w:rsid w:val="00F35B14"/>
    <w:rsid w:val="00F361FA"/>
    <w:rsid w:val="00F36ABE"/>
    <w:rsid w:val="00F372C7"/>
    <w:rsid w:val="00F37A81"/>
    <w:rsid w:val="00F37FF8"/>
    <w:rsid w:val="00F41001"/>
    <w:rsid w:val="00F42EDB"/>
    <w:rsid w:val="00F44E8F"/>
    <w:rsid w:val="00F45734"/>
    <w:rsid w:val="00F47587"/>
    <w:rsid w:val="00F47AFA"/>
    <w:rsid w:val="00F47FB6"/>
    <w:rsid w:val="00F52231"/>
    <w:rsid w:val="00F52722"/>
    <w:rsid w:val="00F54382"/>
    <w:rsid w:val="00F55592"/>
    <w:rsid w:val="00F5780C"/>
    <w:rsid w:val="00F601B0"/>
    <w:rsid w:val="00F60C9D"/>
    <w:rsid w:val="00F61C3F"/>
    <w:rsid w:val="00F6217D"/>
    <w:rsid w:val="00F66EE8"/>
    <w:rsid w:val="00F673BF"/>
    <w:rsid w:val="00F67457"/>
    <w:rsid w:val="00F706D5"/>
    <w:rsid w:val="00F72FEF"/>
    <w:rsid w:val="00F73D56"/>
    <w:rsid w:val="00F746AB"/>
    <w:rsid w:val="00F76741"/>
    <w:rsid w:val="00F7705D"/>
    <w:rsid w:val="00F7740E"/>
    <w:rsid w:val="00F80FB8"/>
    <w:rsid w:val="00F81619"/>
    <w:rsid w:val="00F84615"/>
    <w:rsid w:val="00F84EDA"/>
    <w:rsid w:val="00F85584"/>
    <w:rsid w:val="00F85DB8"/>
    <w:rsid w:val="00F9178E"/>
    <w:rsid w:val="00F93983"/>
    <w:rsid w:val="00F972C8"/>
    <w:rsid w:val="00F978E8"/>
    <w:rsid w:val="00FA00E5"/>
    <w:rsid w:val="00FA0129"/>
    <w:rsid w:val="00FA0394"/>
    <w:rsid w:val="00FA0BD9"/>
    <w:rsid w:val="00FA272D"/>
    <w:rsid w:val="00FA2C2E"/>
    <w:rsid w:val="00FA3D93"/>
    <w:rsid w:val="00FA6E10"/>
    <w:rsid w:val="00FB0A25"/>
    <w:rsid w:val="00FB41DF"/>
    <w:rsid w:val="00FB4381"/>
    <w:rsid w:val="00FB5CED"/>
    <w:rsid w:val="00FC1C6D"/>
    <w:rsid w:val="00FC1DB2"/>
    <w:rsid w:val="00FC52D9"/>
    <w:rsid w:val="00FC557F"/>
    <w:rsid w:val="00FC5AD5"/>
    <w:rsid w:val="00FD0311"/>
    <w:rsid w:val="00FD2AC3"/>
    <w:rsid w:val="00FD5F76"/>
    <w:rsid w:val="00FD673A"/>
    <w:rsid w:val="00FE2148"/>
    <w:rsid w:val="00FE4A27"/>
    <w:rsid w:val="00FE6FC3"/>
    <w:rsid w:val="00FF051C"/>
    <w:rsid w:val="00FF115E"/>
    <w:rsid w:val="00FF306B"/>
    <w:rsid w:val="00FF3262"/>
    <w:rsid w:val="00FF4E52"/>
    <w:rsid w:val="00FF6D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E727B"/>
  <w15:docId w15:val="{1B48BC96-C253-41D0-8B02-C9863120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E6C"/>
    <w:pPr>
      <w:spacing w:after="0"/>
    </w:pPr>
    <w:rPr>
      <w:rFonts w:ascii="Times New Roman" w:eastAsia="Times New Roman" w:hAnsi="Times New Roman" w:cs="Times New Roman"/>
      <w:noProof/>
      <w:sz w:val="24"/>
      <w:szCs w:val="24"/>
      <w:lang w:bidi="ar-AE"/>
    </w:rPr>
  </w:style>
  <w:style w:type="paragraph" w:styleId="Heading1">
    <w:name w:val="heading 1"/>
    <w:basedOn w:val="Normal"/>
    <w:next w:val="Normal"/>
    <w:link w:val="Heading1Char"/>
    <w:uiPriority w:val="9"/>
    <w:qFormat/>
    <w:rsid w:val="00EF4C41"/>
    <w:pPr>
      <w:keepNext/>
      <w:keepLines/>
      <w:spacing w:before="240" w:line="259" w:lineRule="auto"/>
      <w:outlineLvl w:val="0"/>
    </w:pPr>
    <w:rPr>
      <w:rFonts w:asciiTheme="majorHAnsi" w:eastAsiaTheme="majorEastAsia" w:hAnsiTheme="majorHAnsi" w:cstheme="majorBidi"/>
      <w:noProof w:val="0"/>
      <w:color w:val="365F91" w:themeColor="accent1" w:themeShade="BF"/>
      <w:sz w:val="32"/>
      <w:szCs w:val="32"/>
      <w:lang w:bidi="ar-SA"/>
    </w:rPr>
  </w:style>
  <w:style w:type="paragraph" w:styleId="Heading2">
    <w:name w:val="heading 2"/>
    <w:basedOn w:val="Normal"/>
    <w:next w:val="Normal"/>
    <w:link w:val="Heading2Char"/>
    <w:uiPriority w:val="9"/>
    <w:unhideWhenUsed/>
    <w:qFormat/>
    <w:rsid w:val="006F619D"/>
    <w:pPr>
      <w:keepNext/>
      <w:keepLines/>
      <w:spacing w:before="200" w:line="276" w:lineRule="auto"/>
      <w:outlineLvl w:val="1"/>
    </w:pPr>
    <w:rPr>
      <w:rFonts w:asciiTheme="majorHAnsi" w:eastAsiaTheme="majorEastAsia" w:hAnsiTheme="majorHAnsi" w:cstheme="majorBidi"/>
      <w:b/>
      <w:bCs/>
      <w:noProof w:val="0"/>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E6C"/>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TableNormal"/>
    <w:rsid w:val="00747E6C"/>
    <w:pPr>
      <w:spacing w:after="0"/>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Style1">
    <w:name w:val="Style1"/>
    <w:basedOn w:val="NoList"/>
    <w:rsid w:val="00747E6C"/>
    <w:pPr>
      <w:numPr>
        <w:numId w:val="1"/>
      </w:numPr>
    </w:pPr>
  </w:style>
  <w:style w:type="paragraph" w:customStyle="1" w:styleId="Style2">
    <w:name w:val="Style2"/>
    <w:basedOn w:val="Normal"/>
    <w:autoRedefine/>
    <w:rsid w:val="00747E6C"/>
    <w:pPr>
      <w:jc w:val="center"/>
    </w:pPr>
  </w:style>
  <w:style w:type="table" w:customStyle="1" w:styleId="TableStyle2">
    <w:name w:val="Table Style2"/>
    <w:basedOn w:val="TableGrid"/>
    <w:rsid w:val="00747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autoRedefine/>
    <w:rsid w:val="00747E6C"/>
    <w:pPr>
      <w:bidi/>
      <w:spacing w:line="360" w:lineRule="auto"/>
      <w:jc w:val="center"/>
      <w:outlineLvl w:val="0"/>
    </w:pPr>
    <w:rPr>
      <w:rFonts w:ascii="Arial Narrow" w:hAnsi="Arial Narrow" w:cs="Arial"/>
      <w:noProof w:val="0"/>
    </w:rPr>
  </w:style>
  <w:style w:type="paragraph" w:customStyle="1" w:styleId="Style4">
    <w:name w:val="Style4"/>
    <w:basedOn w:val="Normal"/>
    <w:autoRedefine/>
    <w:rsid w:val="00747E6C"/>
    <w:pPr>
      <w:jc w:val="center"/>
      <w:outlineLvl w:val="0"/>
    </w:pPr>
    <w:rPr>
      <w:sz w:val="28"/>
      <w:szCs w:val="28"/>
    </w:rPr>
  </w:style>
  <w:style w:type="paragraph" w:styleId="FootnoteText">
    <w:name w:val="footnote text"/>
    <w:basedOn w:val="Normal"/>
    <w:link w:val="FootnoteTextChar"/>
    <w:uiPriority w:val="99"/>
    <w:rsid w:val="00747E6C"/>
    <w:rPr>
      <w:sz w:val="20"/>
      <w:szCs w:val="20"/>
    </w:rPr>
  </w:style>
  <w:style w:type="character" w:customStyle="1" w:styleId="FootnoteTextChar">
    <w:name w:val="Footnote Text Char"/>
    <w:basedOn w:val="DefaultParagraphFont"/>
    <w:link w:val="FootnoteText"/>
    <w:uiPriority w:val="99"/>
    <w:rsid w:val="00747E6C"/>
    <w:rPr>
      <w:rFonts w:ascii="Times New Roman" w:eastAsia="Times New Roman" w:hAnsi="Times New Roman" w:cs="Times New Roman"/>
      <w:noProof/>
      <w:sz w:val="20"/>
      <w:szCs w:val="20"/>
      <w:lang w:bidi="ar-AE"/>
    </w:rPr>
  </w:style>
  <w:style w:type="character" w:styleId="FootnoteReference">
    <w:name w:val="footnote reference"/>
    <w:basedOn w:val="DefaultParagraphFont"/>
    <w:uiPriority w:val="99"/>
    <w:rsid w:val="00747E6C"/>
    <w:rPr>
      <w:vertAlign w:val="superscript"/>
    </w:rPr>
  </w:style>
  <w:style w:type="character" w:styleId="Hyperlink">
    <w:name w:val="Hyperlink"/>
    <w:basedOn w:val="DefaultParagraphFont"/>
    <w:uiPriority w:val="99"/>
    <w:rsid w:val="00747E6C"/>
    <w:rPr>
      <w:color w:val="0000FF"/>
      <w:u w:val="single"/>
    </w:rPr>
  </w:style>
  <w:style w:type="paragraph" w:styleId="DocumentMap">
    <w:name w:val="Document Map"/>
    <w:basedOn w:val="Normal"/>
    <w:link w:val="DocumentMapChar"/>
    <w:semiHidden/>
    <w:rsid w:val="00747E6C"/>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747E6C"/>
    <w:rPr>
      <w:rFonts w:ascii="Tahoma" w:eastAsia="Times New Roman" w:hAnsi="Tahoma" w:cs="Times New Roman"/>
      <w:noProof/>
      <w:sz w:val="20"/>
      <w:szCs w:val="20"/>
      <w:shd w:val="clear" w:color="auto" w:fill="000080"/>
      <w:lang w:bidi="ar-AE"/>
    </w:rPr>
  </w:style>
  <w:style w:type="paragraph" w:styleId="Header">
    <w:name w:val="header"/>
    <w:basedOn w:val="Normal"/>
    <w:link w:val="HeaderChar"/>
    <w:uiPriority w:val="99"/>
    <w:rsid w:val="00747E6C"/>
    <w:pPr>
      <w:tabs>
        <w:tab w:val="center" w:pos="4320"/>
        <w:tab w:val="right" w:pos="8640"/>
      </w:tabs>
    </w:pPr>
  </w:style>
  <w:style w:type="character" w:customStyle="1" w:styleId="HeaderChar">
    <w:name w:val="Header Char"/>
    <w:basedOn w:val="DefaultParagraphFont"/>
    <w:link w:val="Header"/>
    <w:uiPriority w:val="99"/>
    <w:rsid w:val="00747E6C"/>
    <w:rPr>
      <w:rFonts w:ascii="Times New Roman" w:eastAsia="Times New Roman" w:hAnsi="Times New Roman" w:cs="Times New Roman"/>
      <w:noProof/>
      <w:sz w:val="24"/>
      <w:szCs w:val="24"/>
      <w:lang w:bidi="ar-AE"/>
    </w:rPr>
  </w:style>
  <w:style w:type="character" w:styleId="PageNumber">
    <w:name w:val="page number"/>
    <w:basedOn w:val="DefaultParagraphFont"/>
    <w:rsid w:val="00747E6C"/>
  </w:style>
  <w:style w:type="paragraph" w:styleId="EndnoteText">
    <w:name w:val="endnote text"/>
    <w:basedOn w:val="Normal"/>
    <w:link w:val="EndnoteTextChar"/>
    <w:semiHidden/>
    <w:rsid w:val="00747E6C"/>
    <w:rPr>
      <w:sz w:val="20"/>
      <w:szCs w:val="20"/>
    </w:rPr>
  </w:style>
  <w:style w:type="character" w:customStyle="1" w:styleId="EndnoteTextChar">
    <w:name w:val="Endnote Text Char"/>
    <w:basedOn w:val="DefaultParagraphFont"/>
    <w:link w:val="EndnoteText"/>
    <w:semiHidden/>
    <w:rsid w:val="00747E6C"/>
    <w:rPr>
      <w:rFonts w:ascii="Times New Roman" w:eastAsia="Times New Roman" w:hAnsi="Times New Roman" w:cs="Times New Roman"/>
      <w:noProof/>
      <w:sz w:val="20"/>
      <w:szCs w:val="20"/>
      <w:lang w:bidi="ar-AE"/>
    </w:rPr>
  </w:style>
  <w:style w:type="character" w:styleId="EndnoteReference">
    <w:name w:val="endnote reference"/>
    <w:basedOn w:val="DefaultParagraphFont"/>
    <w:semiHidden/>
    <w:rsid w:val="00747E6C"/>
    <w:rPr>
      <w:vertAlign w:val="superscript"/>
    </w:rPr>
  </w:style>
  <w:style w:type="paragraph" w:styleId="BalloonText">
    <w:name w:val="Balloon Text"/>
    <w:basedOn w:val="Normal"/>
    <w:link w:val="BalloonTextChar"/>
    <w:uiPriority w:val="99"/>
    <w:semiHidden/>
    <w:rsid w:val="00747E6C"/>
    <w:rPr>
      <w:rFonts w:ascii="Tahoma" w:hAnsi="Tahoma" w:cs="Tahoma"/>
      <w:sz w:val="16"/>
      <w:szCs w:val="16"/>
    </w:rPr>
  </w:style>
  <w:style w:type="character" w:customStyle="1" w:styleId="BalloonTextChar">
    <w:name w:val="Balloon Text Char"/>
    <w:basedOn w:val="DefaultParagraphFont"/>
    <w:link w:val="BalloonText"/>
    <w:uiPriority w:val="99"/>
    <w:semiHidden/>
    <w:rsid w:val="00747E6C"/>
    <w:rPr>
      <w:rFonts w:ascii="Tahoma" w:eastAsia="Times New Roman" w:hAnsi="Tahoma" w:cs="Tahoma"/>
      <w:noProof/>
      <w:sz w:val="16"/>
      <w:szCs w:val="16"/>
      <w:lang w:bidi="ar-AE"/>
    </w:rPr>
  </w:style>
  <w:style w:type="paragraph" w:styleId="Footer">
    <w:name w:val="footer"/>
    <w:basedOn w:val="Normal"/>
    <w:link w:val="FooterChar"/>
    <w:uiPriority w:val="99"/>
    <w:rsid w:val="00747E6C"/>
    <w:pPr>
      <w:tabs>
        <w:tab w:val="center" w:pos="4320"/>
        <w:tab w:val="right" w:pos="8640"/>
      </w:tabs>
    </w:pPr>
  </w:style>
  <w:style w:type="character" w:customStyle="1" w:styleId="FooterChar">
    <w:name w:val="Footer Char"/>
    <w:basedOn w:val="DefaultParagraphFont"/>
    <w:link w:val="Footer"/>
    <w:uiPriority w:val="99"/>
    <w:rsid w:val="00747E6C"/>
    <w:rPr>
      <w:rFonts w:ascii="Times New Roman" w:eastAsia="Times New Roman" w:hAnsi="Times New Roman" w:cs="Times New Roman"/>
      <w:noProof/>
      <w:sz w:val="24"/>
      <w:szCs w:val="24"/>
      <w:lang w:bidi="ar-AE"/>
    </w:rPr>
  </w:style>
  <w:style w:type="character" w:styleId="Emphasis">
    <w:name w:val="Emphasis"/>
    <w:basedOn w:val="DefaultParagraphFont"/>
    <w:uiPriority w:val="20"/>
    <w:qFormat/>
    <w:rsid w:val="00747E6C"/>
    <w:rPr>
      <w:i/>
      <w:iCs/>
    </w:rPr>
  </w:style>
  <w:style w:type="character" w:customStyle="1" w:styleId="longtext">
    <w:name w:val="long_text"/>
    <w:basedOn w:val="DefaultParagraphFont"/>
    <w:rsid w:val="00747E6C"/>
  </w:style>
  <w:style w:type="paragraph" w:styleId="ListParagraph">
    <w:name w:val="List Paragraph"/>
    <w:aliases w:val="Body of text,List Paragraph1,Colorful List - Accent 11,Body Text Char1,Char Char2,kepala,Body of text+1,Body of text+2,Body of text+3,List Paragraph11,Medium Grid 1 - Accent 21,Daftar Acuan,UGEX'Z"/>
    <w:basedOn w:val="Normal"/>
    <w:link w:val="ListParagraphChar"/>
    <w:uiPriority w:val="34"/>
    <w:qFormat/>
    <w:rsid w:val="000E4F64"/>
    <w:pPr>
      <w:spacing w:after="200" w:line="276" w:lineRule="auto"/>
      <w:ind w:left="720"/>
      <w:contextualSpacing/>
    </w:pPr>
    <w:rPr>
      <w:rFonts w:asciiTheme="minorHAnsi" w:eastAsiaTheme="minorHAnsi" w:hAnsiTheme="minorHAnsi" w:cstheme="minorBidi"/>
      <w:noProof w:val="0"/>
      <w:sz w:val="22"/>
      <w:szCs w:val="22"/>
      <w:lang w:bidi="ar-SA"/>
    </w:rPr>
  </w:style>
  <w:style w:type="character" w:customStyle="1" w:styleId="gen">
    <w:name w:val="gen"/>
    <w:basedOn w:val="DefaultParagraphFont"/>
    <w:rsid w:val="000E4F64"/>
  </w:style>
  <w:style w:type="table" w:customStyle="1" w:styleId="TableGrid1">
    <w:name w:val="Table Grid1"/>
    <w:basedOn w:val="TableNormal"/>
    <w:next w:val="TableGrid"/>
    <w:uiPriority w:val="99"/>
    <w:rsid w:val="000E4F6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C7542E"/>
  </w:style>
  <w:style w:type="character" w:customStyle="1" w:styleId="ListParagraphChar">
    <w:name w:val="List Paragraph Char"/>
    <w:aliases w:val="Body of text Char,List Paragraph1 Char,Colorful List - Accent 11 Char,Body Text Char1 Char,Char Char2 Char,kepala Char,Body of text+1 Char,Body of text+2 Char,Body of text+3 Char,List Paragraph11 Char,Medium Grid 1 - Accent 21 Char"/>
    <w:link w:val="ListParagraph"/>
    <w:uiPriority w:val="34"/>
    <w:locked/>
    <w:rsid w:val="00642640"/>
  </w:style>
  <w:style w:type="paragraph" w:customStyle="1" w:styleId="Default">
    <w:name w:val="Default"/>
    <w:rsid w:val="00381253"/>
    <w:pPr>
      <w:autoSpaceDE w:val="0"/>
      <w:autoSpaceDN w:val="0"/>
      <w:adjustRightInd w:val="0"/>
      <w:spacing w:after="0"/>
    </w:pPr>
    <w:rPr>
      <w:rFonts w:ascii="Garamond" w:eastAsia="Times New Roman" w:hAnsi="Garamond" w:cs="Garamond"/>
      <w:color w:val="000000"/>
      <w:sz w:val="24"/>
      <w:szCs w:val="24"/>
      <w:lang w:val="id-ID"/>
    </w:rPr>
  </w:style>
  <w:style w:type="paragraph" w:styleId="Bibliography">
    <w:name w:val="Bibliography"/>
    <w:basedOn w:val="Normal"/>
    <w:next w:val="Normal"/>
    <w:uiPriority w:val="37"/>
    <w:unhideWhenUsed/>
    <w:rsid w:val="00BD63D7"/>
    <w:pPr>
      <w:spacing w:after="160" w:line="259" w:lineRule="auto"/>
    </w:pPr>
    <w:rPr>
      <w:rFonts w:ascii="Calibri" w:eastAsia="Calibri" w:hAnsi="Calibri" w:cs="Arial"/>
      <w:noProof w:val="0"/>
      <w:sz w:val="22"/>
      <w:szCs w:val="22"/>
      <w:lang w:bidi="ar-SA"/>
    </w:rPr>
  </w:style>
  <w:style w:type="character" w:customStyle="1" w:styleId="Heading1Char">
    <w:name w:val="Heading 1 Char"/>
    <w:basedOn w:val="DefaultParagraphFont"/>
    <w:link w:val="Heading1"/>
    <w:uiPriority w:val="9"/>
    <w:rsid w:val="00EF4C41"/>
    <w:rPr>
      <w:rFonts w:asciiTheme="majorHAnsi" w:eastAsiaTheme="majorEastAsia" w:hAnsiTheme="majorHAnsi" w:cstheme="majorBidi"/>
      <w:color w:val="365F91" w:themeColor="accent1" w:themeShade="BF"/>
      <w:sz w:val="32"/>
      <w:szCs w:val="32"/>
    </w:rPr>
  </w:style>
  <w:style w:type="character" w:customStyle="1" w:styleId="tlid-translation">
    <w:name w:val="tlid-translation"/>
    <w:rsid w:val="00EF4C41"/>
  </w:style>
  <w:style w:type="character" w:customStyle="1" w:styleId="Heading2Char">
    <w:name w:val="Heading 2 Char"/>
    <w:basedOn w:val="DefaultParagraphFont"/>
    <w:link w:val="Heading2"/>
    <w:uiPriority w:val="9"/>
    <w:rsid w:val="006F619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E19A5"/>
    <w:rPr>
      <w:b/>
      <w:bCs/>
    </w:rPr>
  </w:style>
  <w:style w:type="paragraph" w:styleId="HTMLPreformatted">
    <w:name w:val="HTML Preformatted"/>
    <w:basedOn w:val="Normal"/>
    <w:link w:val="HTMLPreformattedChar"/>
    <w:uiPriority w:val="99"/>
    <w:semiHidden/>
    <w:unhideWhenUsed/>
    <w:rsid w:val="0018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id-ID" w:eastAsia="id-ID" w:bidi="ar-SA"/>
    </w:rPr>
  </w:style>
  <w:style w:type="character" w:customStyle="1" w:styleId="HTMLPreformattedChar">
    <w:name w:val="HTML Preformatted Char"/>
    <w:basedOn w:val="DefaultParagraphFont"/>
    <w:link w:val="HTMLPreformatted"/>
    <w:uiPriority w:val="99"/>
    <w:semiHidden/>
    <w:rsid w:val="00184212"/>
    <w:rPr>
      <w:rFonts w:ascii="Courier New" w:eastAsia="Times New Roman" w:hAnsi="Courier New" w:cs="Courier New"/>
      <w:sz w:val="20"/>
      <w:szCs w:val="20"/>
      <w:lang w:val="id-ID" w:eastAsia="id-ID"/>
    </w:rPr>
  </w:style>
  <w:style w:type="character" w:customStyle="1" w:styleId="uxksbf">
    <w:name w:val="uxksbf"/>
    <w:basedOn w:val="DefaultParagraphFont"/>
    <w:rsid w:val="00184212"/>
  </w:style>
  <w:style w:type="paragraph" w:styleId="NormalWeb">
    <w:name w:val="Normal (Web)"/>
    <w:basedOn w:val="Normal"/>
    <w:uiPriority w:val="99"/>
    <w:unhideWhenUsed/>
    <w:rsid w:val="009B0D7D"/>
    <w:pPr>
      <w:spacing w:before="100" w:beforeAutospacing="1" w:after="100" w:afterAutospacing="1"/>
    </w:pPr>
    <w:rPr>
      <w:noProof w:val="0"/>
      <w:lang w:val="id-ID" w:eastAsia="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ghoni-2019@fisip.unair.ac.id"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aare_lee_81@yaho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idanmuhtadi@gmail.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Cor09</b:Tag>
    <b:SourceType>Book</b:SourceType>
    <b:Guid>{DD07EBCC-5675-4B21-8152-E17B93FD9591}</b:Guid>
    <b:Author>
      <b:Author>
        <b:NameList>
          <b:Person>
            <b:Last>Corey</b:Last>
            <b:First>G.</b:First>
          </b:Person>
        </b:NameList>
      </b:Author>
    </b:Author>
    <b:Title>Theory and Practice of Counseling and Psychotherapy (Buku Terjemahan)</b:Title>
    <b:Year>2009</b:Year>
    <b:City>Belmont, CA</b:City>
    <b:Publisher>Brooks/Cole</b:Publisher>
    <b:RefOrder>1</b:RefOrder>
  </b:Source>
  <b:Source>
    <b:Tag>MZH16</b:Tag>
    <b:SourceType>Book</b:SourceType>
    <b:Guid>{6F9A9C26-A40F-48D0-BDE3-4D157E5D75DB}</b:Guid>
    <b:Title>Karakteristik Pribadi Ideal Konselor dalam Perspektif Aswaja an-Nahdliyah (Kajian Hermeneutik Gadamer Terhadap Teks Khittah an-Nahdliyah)</b:Title>
    <b:Year>2016</b:Year>
    <b:Publisher>Tesis Pascasarjana Univ. Nageri Malang</b:Publisher>
    <b:Author>
      <b:Author>
        <b:NameList>
          <b:Person>
            <b:Last>Annajih</b:Last>
            <b:First>MZH.</b:First>
          </b:Person>
        </b:NameList>
      </b:Author>
    </b:Author>
    <b:RefOrder>2</b:RefOrder>
  </b:Source>
  <b:Source>
    <b:Tag>Map13</b:Tag>
    <b:SourceType>ConferenceProceedings</b:SourceType>
    <b:Guid>{42C4FF94-CA45-4B3A-9305-F6B6641BB608}</b:Guid>
    <b:Title>“Martabat Konselor Indonesia dalam Falsafah dan Kinerja Model KIPAS: Konseling Intensif Progresif Adaptif Struktur”</b:Title>
    <b:Year>14-16 November 2013</b:Year>
    <b:City>Bali</b:City>
    <b:Author>
      <b:Author>
        <b:NameList>
          <b:Person>
            <b:Last>AT</b:Last>
            <b:First>Mappiare</b:First>
          </b:Person>
        </b:NameList>
      </b:Author>
    </b:Author>
    <b:Pages>40</b:Pages>
    <b:ConferenceName>Prosiding Kongres XII, Konvensi Nasional XVII ABKIN dan Seminar Internasional Konseling</b:ConferenceName>
    <b:RefOrder>3</b:RefOrder>
  </b:Source>
  <b:Source>
    <b:Tag>MIU13</b:Tag>
    <b:SourceType>JournalArticle</b:SourceType>
    <b:Guid>{D8EFA173-A97D-4F97-B365-B06A1AC6F144}</b:Guid>
    <b:Title>Pesantren Sebagai Lembaga Pendidikan Islam (Sejarah Lahir, Sistem Pendidikan, dan Perkembangannya Masa Kini) </b:Title>
    <b:Pages>101</b:Pages>
    <b:Year>2013</b:Year>
    <b:Author>
      <b:Author>
        <b:NameList>
          <b:Person>
            <b:Last>Usman</b:Last>
            <b:First>MI.</b:First>
          </b:Person>
        </b:NameList>
      </b:Author>
    </b:Author>
    <b:JournalName>Vol. XIV Nomor 1 Jurnal Al Hikmah </b:JournalName>
    <b:RefOrder>4</b:RefOrder>
  </b:Source>
  <b:Source>
    <b:Tag>Ari13</b:Tag>
    <b:SourceType>ConferenceProceedings</b:SourceType>
    <b:Guid>{A9D751C3-05F0-4713-8BB0-2EA78C8B98EF}</b:Guid>
    <b:Author>
      <b:Author>
        <b:NameList>
          <b:Person>
            <b:Last>Arifin</b:Last>
            <b:First>S.</b:First>
          </b:Person>
        </b:NameList>
      </b:Author>
    </b:Author>
    <b:Title>Potret Kualitas Pribadi Konselor Bermartabat Perspektif Konseling At-Tawazun.</b:Title>
    <b:Year>14-16 2013</b:Year>
    <b:Pages>280</b:Pages>
    <b:ConferenceName>Prosiding Kongres XII, Konvensi Nasional XVIII ABKIN dan Seminar Internasional Konseling. </b:ConferenceName>
    <b:City>Bali</b:City>
    <b:RefOrder>5</b:RefOrder>
  </b:Source>
  <b:Source>
    <b:Tag>SAr93</b:Tag>
    <b:SourceType>Book</b:SourceType>
    <b:Guid>{0AC0A954-6ADB-4D52-9D67-27DA5D1ECE71}</b:Guid>
    <b:Title>Prosedur Penelitian: Suatu Pendekatan Praktek</b:Title>
    <b:Year>1993</b:Year>
    <b:City>Jakarta</b:City>
    <b:Publisher>Rineka Cipta</b:Publisher>
    <b:Author>
      <b:Author>
        <b:NameList>
          <b:Person>
            <b:Last>Arikunto</b:Last>
            <b:First>S.</b:First>
          </b:Person>
        </b:NameList>
      </b:Author>
    </b:Author>
    <b:RefOrder>6</b:RefOrder>
  </b:Source>
  <b:Source>
    <b:Tag>Sud97</b:Tag>
    <b:SourceType>Book</b:SourceType>
    <b:Guid>{98E1AA6E-AD14-4E2E-88A4-75FFCFEFCBD8}</b:Guid>
    <b:Author>
      <b:Author>
        <b:NameList>
          <b:Person>
            <b:Last>Sudarto</b:Last>
          </b:Person>
        </b:NameList>
      </b:Author>
    </b:Author>
    <b:Title>Metodelogi Penelitian Filsafat </b:Title>
    <b:Year>1997</b:Year>
    <b:City>Jakarta</b:City>
    <b:Publisher>PT. Raja Grafindo Persadam </b:Publisher>
    <b:RefOrder>7</b:RefOrder>
  </b:Source>
  <b:Source>
    <b:Tag>Atm14</b:Tag>
    <b:SourceType>ConferenceProceedings</b:SourceType>
    <b:Guid>{CD644041-ABEA-4663-A5D3-4C3EFFEF2AE0}</b:Guid>
    <b:Title>Pendidikan Konselor Masa Depan</b:Title>
    <b:Year>2014</b:Year>
    <b:City>Semarang</b:City>
    <b:Author>
      <b:Author>
        <b:NameList>
          <b:Person>
            <b:Last>Atmoko</b:Last>
            <b:First>Adi</b:First>
          </b:Person>
        </b:NameList>
      </b:Author>
    </b:Author>
    <b:Pages>484</b:Pages>
    <b:ConferenceName>Proceding Profesi Konselor Masa Depan</b:ConferenceName>
    <b:RefOrder>8</b:RefOrder>
  </b:Source>
  <b:Source>
    <b:Tag>Cav82</b:Tag>
    <b:SourceType>Book</b:SourceType>
    <b:Guid>{CE5A6C98-DADC-4247-A092-5D933131D83A}</b:Guid>
    <b:Title>The Counseling Experience: A Theoretical Approach</b:Title>
    <b:Year>1982</b:Year>
    <b:City>California</b:City>
    <b:Publisher>Brooks/Cole Publishing Company</b:Publisher>
    <b:Author>
      <b:Author>
        <b:NameList>
          <b:Person>
            <b:Last>Cavanagh</b:Last>
            <b:First>ME</b:First>
          </b:Person>
        </b:NameList>
      </b:Author>
    </b:Author>
    <b:RefOrder>9</b:RefOrder>
  </b:Source>
  <b:Source>
    <b:Tag>Bra79</b:Tag>
    <b:SourceType>Book</b:SourceType>
    <b:Guid>{329B854D-7A2B-4EAC-8D5F-5D77AEB39244}</b:Guid>
    <b:Author>
      <b:Author>
        <b:NameList>
          <b:Person>
            <b:Last>Brammaer</b:Last>
            <b:First>LM</b:First>
          </b:Person>
        </b:NameList>
      </b:Author>
    </b:Author>
    <b:Title> The Helping Relathionship Process and Skills</b:Title>
    <b:Year>1979</b:Year>
    <b:City>New Jersey</b:City>
    <b:Publisher>Prentice Hall</b:Publisher>
    <b:RefOrder>10</b:RefOrder>
  </b:Source>
  <b:Source>
    <b:Tag>Fua09</b:Tag>
    <b:SourceType>JournalArticle</b:SourceType>
    <b:Guid>{CED8AFC1-27EB-430E-A650-90914EE1B237}</b:Guid>
    <b:Title>Kualitas Pribadi Konselor: Urgensi dan Pengembangannya</b:Title>
    <b:Year>Vol. 4 No. 2 Juli-Desember 2009</b:Year>
    <b:Author>
      <b:Author>
        <b:NameList>
          <b:Person>
            <b:Last>Fuad</b:Last>
            <b:First>M</b:First>
          </b:Person>
        </b:NameList>
      </b:Author>
    </b:Author>
    <b:JournalName>Komunika: Jurusan Dakwah STAIN Purwokerto</b:JournalName>
    <b:Pages>247-254</b:Pages>
    <b:RefOrder>11</b:RefOrder>
  </b:Source>
  <b:Source>
    <b:Tag>AlG</b:Tag>
    <b:SourceType>Book</b:SourceType>
    <b:Guid>{F7E000D0-BD79-4B62-A770-280B3F41617E}</b:Guid>
    <b:Title>Ihya’ Ulumuddin Jilid 1</b:Title>
    <b:City>Kairo</b:City>
    <b:Publisher>Matba’ah Shabih, tt</b:Publisher>
    <b:Author>
      <b:Author>
        <b:NameList>
          <b:Person>
            <b:Last>Al-Ghazali</b:Last>
          </b:Person>
        </b:NameList>
      </b:Author>
    </b:Author>
    <b:RefOrder>12</b:RefOrder>
  </b:Source>
  <b:Source>
    <b:Tag>AlZ95</b:Tag>
    <b:SourceType>Book</b:SourceType>
    <b:Guid>{B970039A-84FD-44E2-B52A-7ED4C7726F8A}</b:Guid>
    <b:Author>
      <b:Author>
        <b:NameList>
          <b:Person>
            <b:Last>Al-Zarnuji</b:Last>
          </b:Person>
        </b:NameList>
      </b:Author>
    </b:Author>
    <b:Title>Ta’limul Muta’allim (Terjemahan)</b:Title>
    <b:Year>1995</b:Year>
    <b:City>Semarang</b:City>
    <b:Publisher>CV. Toha</b:Publisher>
    <b:RefOrder>13</b:RefOrder>
  </b:Source>
  <b:Source>
    <b:Tag>HAs13</b:Tag>
    <b:SourceType>Book</b:SourceType>
    <b:Guid>{1FD9EDC0-FB3E-4EA4-BC6C-127AD5D96BA9}</b:Guid>
    <b:Author>
      <b:Author>
        <b:NameList>
          <b:Person>
            <b:Last>Asy’ari</b:Last>
            <b:First>H.</b:First>
          </b:Person>
        </b:NameList>
      </b:Author>
    </b:Author>
    <b:Title>Pendidikan ala Pesantren: Terjemahan Adaptif Kitab Adabul ‘Alim wa Muta’allim </b:Title>
    <b:Year>2013</b:Year>
    <b:City>Malang</b:City>
    <b:Publisher>Lintera Ulul Albab</b:Publisher>
    <b:RefOrder>14</b:RefOrder>
  </b:Source>
  <b:Source>
    <b:Tag>MEW14</b:Tag>
    <b:SourceType>ConferenceProceedings</b:SourceType>
    <b:Guid>{8101F073-151C-4D32-A2C8-C020A2E05DCD}</b:Guid>
    <b:Title>Konselor Masa Depan (The Future Counselor) </b:Title>
    <b:Year>2014</b:Year>
    <b:City>Semarang</b:City>
    <b:Author>
      <b:Author>
        <b:NameList>
          <b:Person>
            <b:Last>Wibowo</b:Last>
            <b:First>ME.</b:First>
          </b:Person>
        </b:NameList>
      </b:Author>
    </b:Author>
    <b:Pages>38</b:Pages>
    <b:ConferenceName>Proceeding Profesi Konselor Masa Depan</b:ConferenceName>
    <b:RefOrder>15</b:RefOrder>
  </b:Source>
  <b:Source>
    <b:Tag>ATM17</b:Tag>
    <b:SourceType>Book</b:SourceType>
    <b:Guid>{CBF03D66-9452-469F-8F2D-DBF00023157B}</b:Guid>
    <b:Title>Meramu Model Konseling Berbasis Budaya Nusantara: KIPAS (Konseling Intensif Progresif Adatif Struktur) Naskah Pidato Pengukuhan Guru Besar Universitas Negeri Malang</b:Title>
    <b:Year>2017</b:Year>
    <b:City>Malang</b:City>
    <b:Publisher>Universitas Negeri Malang</b:Publisher>
    <b:Author>
      <b:Author>
        <b:NameList>
          <b:Person>
            <b:Last>Mappiare</b:Last>
            <b:First>AT.</b:First>
          </b:Person>
        </b:NameList>
      </b:Author>
    </b:Author>
    <b:RefOrder>16</b:RefOrder>
  </b:Source>
  <b:Source>
    <b:Tag>Per</b:Tag>
    <b:SourceType>Book</b:SourceType>
    <b:Guid>{D24CF354-C582-4B43-8225-A60A29BB33DE}</b:Guid>
    <b:Title>Peraturan Menteri Pendidikan Nasional Republik Indonesia (Permendiknas). Nomor 27 Tahun 2008 Tentang Standar Kualifikasi Akademik dan Kompetensi Konselor.</b:Title>
    <b:RefOrder>17</b:RefOrder>
  </b:Source>
  <b:Source>
    <b:Tag>Hen10</b:Tag>
    <b:SourceType>Book</b:SourceType>
    <b:Guid>{6B63F8DF-E15B-4E30-BC8C-36176AE4582C}</b:Guid>
    <b:Author>
      <b:Author>
        <b:NameList>
          <b:Person>
            <b:Last>Suhendi</b:Last>
            <b:First>Hendi</b:First>
          </b:Person>
        </b:NameList>
      </b:Author>
    </b:Author>
    <b:Title>Fiqh Muamalah</b:Title>
    <b:Year>2016 (cet.10)</b:Year>
    <b:City>Jakarta</b:City>
    <b:Publisher>PT RajaGrafindo Persada</b:Publisher>
    <b:RefOrder>1</b:RefOrder>
  </b:Source>
  <b:Source>
    <b:Tag>Muh01</b:Tag>
    <b:SourceType>Book</b:SourceType>
    <b:Guid>{12C12411-24EA-415E-91A1-F790581C25DC}</b:Guid>
    <b:Author>
      <b:Author>
        <b:NameList>
          <b:Person>
            <b:Last>Antonio</b:Last>
            <b:First>Muhammad</b:First>
            <b:Middle>Syafi'i</b:Middle>
          </b:Person>
        </b:NameList>
      </b:Author>
    </b:Author>
    <b:Title>Bank Syariah Dari Teori Ke Praktik</b:Title>
    <b:Year>2001</b:Year>
    <b:City>Depok</b:City>
    <b:Publisher>Gema Insani Press</b:Publisher>
    <b:RefOrder>2</b:RefOrder>
  </b:Source>
  <b:Source>
    <b:Tag>Mar12</b:Tag>
    <b:SourceType>Book</b:SourceType>
    <b:Guid>{1BC30DBE-9B83-4D38-A691-32DD1CCA8413}</b:Guid>
    <b:Author>
      <b:Author>
        <b:NameList>
          <b:Person>
            <b:Last>Mardani</b:Last>
          </b:Person>
        </b:NameList>
      </b:Author>
    </b:Author>
    <b:Title>Fiqh Ekonomi Syariah</b:Title>
    <b:Year>2012</b:Year>
    <b:City>Jakarta</b:City>
    <b:Publisher>Prenadamedia Group</b:Publisher>
    <b:RefOrder>3</b:RefOrder>
  </b:Source>
</b:Sources>
</file>

<file path=customXml/itemProps1.xml><?xml version="1.0" encoding="utf-8"?>
<ds:datastoreItem xmlns:ds="http://schemas.openxmlformats.org/officeDocument/2006/customXml" ds:itemID="{141D21C7-78F0-45C4-BF53-AF2D5606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17</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alidotcom</dc:creator>
  <cp:lastModifiedBy>ASUS</cp:lastModifiedBy>
  <cp:revision>97</cp:revision>
  <cp:lastPrinted>2020-09-19T02:25:00Z</cp:lastPrinted>
  <dcterms:created xsi:type="dcterms:W3CDTF">2019-07-19T06:40:00Z</dcterms:created>
  <dcterms:modified xsi:type="dcterms:W3CDTF">2020-11-23T11:54:00Z</dcterms:modified>
</cp:coreProperties>
</file>